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9628"/>
      </w:tblGrid>
      <w:tr w:rsidR="007A7AC2" w14:paraId="45659264" w14:textId="77777777" w:rsidTr="007A7AC2">
        <w:tc>
          <w:tcPr>
            <w:tcW w:w="9628" w:type="dxa"/>
          </w:tcPr>
          <w:p w14:paraId="2C2292C6" w14:textId="77777777" w:rsidR="007A7AC2" w:rsidRPr="009F37E0" w:rsidRDefault="007A7AC2" w:rsidP="007A7AC2">
            <w:pPr>
              <w:pStyle w:val="Paragrafoelenco"/>
              <w:numPr>
                <w:ilvl w:val="0"/>
                <w:numId w:val="1"/>
              </w:numPr>
              <w:rPr>
                <w:b/>
              </w:rPr>
            </w:pPr>
            <w:r w:rsidRPr="009F37E0">
              <w:rPr>
                <w:b/>
                <w:sz w:val="32"/>
              </w:rPr>
              <w:t>Associazione</w:t>
            </w:r>
          </w:p>
        </w:tc>
      </w:tr>
      <w:tr w:rsidR="007A7AC2" w14:paraId="7E5259B8" w14:textId="77777777" w:rsidTr="007A7AC2">
        <w:tc>
          <w:tcPr>
            <w:tcW w:w="9628" w:type="dxa"/>
          </w:tcPr>
          <w:p w14:paraId="64ADE5B6" w14:textId="77777777" w:rsidR="007A7AC2" w:rsidRDefault="007A7AC2" w:rsidP="007A7AC2">
            <w:r>
              <w:t>AS.PE.I</w:t>
            </w:r>
            <w:proofErr w:type="gramStart"/>
            <w:r>
              <w:t xml:space="preserve">   (</w:t>
            </w:r>
            <w:proofErr w:type="gramEnd"/>
            <w:r>
              <w:t>Associazione Pedagogica Italiana)</w:t>
            </w:r>
          </w:p>
        </w:tc>
      </w:tr>
      <w:tr w:rsidR="007A7AC2" w14:paraId="60346385" w14:textId="77777777" w:rsidTr="007A7AC2">
        <w:tc>
          <w:tcPr>
            <w:tcW w:w="9628" w:type="dxa"/>
          </w:tcPr>
          <w:p w14:paraId="3848E98C" w14:textId="77777777" w:rsidR="007A7AC2" w:rsidRDefault="00E57E56" w:rsidP="00816B86">
            <w:pPr>
              <w:pStyle w:val="Paragrafoelenco"/>
              <w:numPr>
                <w:ilvl w:val="0"/>
                <w:numId w:val="1"/>
              </w:numPr>
            </w:pPr>
            <w:r>
              <w:t xml:space="preserve"> </w:t>
            </w:r>
            <w:r w:rsidR="007A7AC2" w:rsidRPr="00816B86">
              <w:rPr>
                <w:b/>
                <w:sz w:val="32"/>
              </w:rPr>
              <w:t>Sito</w:t>
            </w:r>
          </w:p>
        </w:tc>
      </w:tr>
      <w:tr w:rsidR="007A7AC2" w14:paraId="6703D1C7" w14:textId="77777777" w:rsidTr="007A7AC2">
        <w:tc>
          <w:tcPr>
            <w:tcW w:w="9628" w:type="dxa"/>
          </w:tcPr>
          <w:p w14:paraId="54DABFFB" w14:textId="77777777" w:rsidR="007A7AC2" w:rsidRDefault="0036647E" w:rsidP="007A7AC2">
            <w:hyperlink r:id="rId7" w:history="1">
              <w:r w:rsidR="007A7AC2">
                <w:rPr>
                  <w:rStyle w:val="Collegamentoipertestuale"/>
                </w:rPr>
                <w:t>https://sites.google.com/site/aspeinazionale/</w:t>
              </w:r>
            </w:hyperlink>
          </w:p>
        </w:tc>
      </w:tr>
      <w:tr w:rsidR="007A7AC2" w14:paraId="7609A99C" w14:textId="77777777" w:rsidTr="007A7AC2">
        <w:tc>
          <w:tcPr>
            <w:tcW w:w="9628" w:type="dxa"/>
          </w:tcPr>
          <w:p w14:paraId="1893B815" w14:textId="77777777" w:rsidR="007A7AC2" w:rsidRDefault="007A7AC2" w:rsidP="00816B86">
            <w:pPr>
              <w:pStyle w:val="Paragrafoelenco"/>
              <w:numPr>
                <w:ilvl w:val="0"/>
                <w:numId w:val="1"/>
              </w:numPr>
            </w:pPr>
            <w:r w:rsidRPr="00816B86">
              <w:rPr>
                <w:b/>
                <w:sz w:val="32"/>
              </w:rPr>
              <w:t>Anno fondazione</w:t>
            </w:r>
          </w:p>
        </w:tc>
      </w:tr>
      <w:tr w:rsidR="007A7AC2" w14:paraId="41D52D28" w14:textId="77777777" w:rsidTr="007A7AC2">
        <w:tc>
          <w:tcPr>
            <w:tcW w:w="9628" w:type="dxa"/>
          </w:tcPr>
          <w:p w14:paraId="6BBCB769" w14:textId="77777777" w:rsidR="007A7AC2" w:rsidRDefault="007A7AC2" w:rsidP="007A7AC2">
            <w:r>
              <w:t>Anni 50 del 1900</w:t>
            </w:r>
          </w:p>
        </w:tc>
      </w:tr>
      <w:tr w:rsidR="007A7AC2" w14:paraId="631B557E" w14:textId="77777777" w:rsidTr="007A7AC2">
        <w:tc>
          <w:tcPr>
            <w:tcW w:w="9628" w:type="dxa"/>
          </w:tcPr>
          <w:p w14:paraId="2A3234AB" w14:textId="77777777" w:rsidR="007A7AC2" w:rsidRDefault="007A7AC2" w:rsidP="00816B86">
            <w:pPr>
              <w:pStyle w:val="Paragrafoelenco"/>
              <w:numPr>
                <w:ilvl w:val="0"/>
                <w:numId w:val="1"/>
              </w:numPr>
            </w:pPr>
            <w:r w:rsidRPr="00816B86">
              <w:rPr>
                <w:b/>
                <w:sz w:val="32"/>
              </w:rPr>
              <w:t>Organismi</w:t>
            </w:r>
          </w:p>
        </w:tc>
      </w:tr>
      <w:tr w:rsidR="007A7AC2" w14:paraId="16253361" w14:textId="77777777" w:rsidTr="007A7AC2">
        <w:tc>
          <w:tcPr>
            <w:tcW w:w="9628" w:type="dxa"/>
          </w:tcPr>
          <w:p w14:paraId="2AABA6A8" w14:textId="11DA0529" w:rsidR="007A7AC2" w:rsidRDefault="007A7AC2" w:rsidP="007A7AC2">
            <w:r w:rsidRPr="007A7AC2">
              <w:t>Sono organi dell’Associazione: - l’Assemblea Nazionale - il Comitato Nazionale di Coordinamento; - il Presidente dell’Associazione</w:t>
            </w:r>
            <w:r w:rsidR="00373944">
              <w:t xml:space="preserve"> (</w:t>
            </w:r>
            <w:r w:rsidR="00373944" w:rsidRPr="00373944">
              <w:t>Emilio Lastrucci</w:t>
            </w:r>
            <w:bookmarkStart w:id="0" w:name="_GoBack"/>
            <w:bookmarkEnd w:id="0"/>
            <w:proofErr w:type="gramStart"/>
            <w:r w:rsidR="00373944">
              <w:t xml:space="preserve">) </w:t>
            </w:r>
            <w:r w:rsidRPr="007A7AC2">
              <w:t>;</w:t>
            </w:r>
            <w:proofErr w:type="gramEnd"/>
            <w:r w:rsidRPr="007A7AC2">
              <w:t>- il Collegio dei Revisori dei Conti; - la Conferenza dei Presidenti di sezione; - la Consulta dei Docenti Universitari.</w:t>
            </w:r>
          </w:p>
        </w:tc>
      </w:tr>
      <w:tr w:rsidR="007A7AC2" w14:paraId="693AEDD6" w14:textId="77777777" w:rsidTr="007A7AC2">
        <w:tc>
          <w:tcPr>
            <w:tcW w:w="9628" w:type="dxa"/>
          </w:tcPr>
          <w:p w14:paraId="2C30DA7E" w14:textId="77777777" w:rsidR="007A7AC2" w:rsidRDefault="007A7AC2" w:rsidP="00816B86">
            <w:pPr>
              <w:pStyle w:val="Paragrafoelenco"/>
              <w:numPr>
                <w:ilvl w:val="0"/>
                <w:numId w:val="1"/>
              </w:numPr>
            </w:pPr>
            <w:r w:rsidRPr="00816B86">
              <w:rPr>
                <w:b/>
                <w:sz w:val="32"/>
              </w:rPr>
              <w:t>Sedi</w:t>
            </w:r>
          </w:p>
        </w:tc>
      </w:tr>
      <w:tr w:rsidR="007A7AC2" w14:paraId="1A7C43D1" w14:textId="77777777" w:rsidTr="007A7AC2">
        <w:tc>
          <w:tcPr>
            <w:tcW w:w="9628" w:type="dxa"/>
          </w:tcPr>
          <w:p w14:paraId="14C31152" w14:textId="77777777" w:rsidR="00E57E56" w:rsidRDefault="00E57E56" w:rsidP="007A7AC2">
            <w:r>
              <w:t>La sede nazionale è a Roma. L’associazione si articola sul territorio in varie sezioni: Basilicata, Brembate, Catania, Fermo, Messina, Padova, Reggio</w:t>
            </w:r>
            <w:r w:rsidR="00816B86">
              <w:t xml:space="preserve"> Calabria, Trapani, Verona, Napoli Salerno, Riviera dei Cedri, Valle del Serchio</w:t>
            </w:r>
          </w:p>
        </w:tc>
      </w:tr>
      <w:tr w:rsidR="007A7AC2" w14:paraId="0D0CFCFC" w14:textId="77777777" w:rsidTr="007A7AC2">
        <w:tc>
          <w:tcPr>
            <w:tcW w:w="9628" w:type="dxa"/>
          </w:tcPr>
          <w:p w14:paraId="2C427847" w14:textId="77777777" w:rsidR="007A7AC2" w:rsidRDefault="007A7AC2" w:rsidP="00816B86">
            <w:pPr>
              <w:pStyle w:val="Paragrafoelenco"/>
              <w:numPr>
                <w:ilvl w:val="0"/>
                <w:numId w:val="1"/>
              </w:numPr>
            </w:pPr>
            <w:r w:rsidRPr="00816B86">
              <w:rPr>
                <w:b/>
                <w:sz w:val="32"/>
              </w:rPr>
              <w:t>Finalità</w:t>
            </w:r>
          </w:p>
        </w:tc>
      </w:tr>
      <w:tr w:rsidR="007A7AC2" w14:paraId="53730D0A" w14:textId="77777777" w:rsidTr="007A7AC2">
        <w:tc>
          <w:tcPr>
            <w:tcW w:w="9628" w:type="dxa"/>
          </w:tcPr>
          <w:p w14:paraId="46520412" w14:textId="77777777" w:rsidR="007A7AC2" w:rsidRDefault="00816B86" w:rsidP="007A7AC2">
            <w:r w:rsidRPr="00816B86">
              <w:t xml:space="preserve">L’Associazione persegue – senza fine di lucro – scopi di natura culturale. Non ha </w:t>
            </w:r>
            <w:proofErr w:type="gramStart"/>
            <w:r w:rsidRPr="00816B86">
              <w:t>carattere  sindacale</w:t>
            </w:r>
            <w:proofErr w:type="gramEnd"/>
            <w:r w:rsidRPr="00816B86">
              <w:t xml:space="preserve"> né collocazione ideologica, politica, religiosa, ma si avvale del dialogo fra persone di  diverso orientamento culturale e valoriale per realizzare i propri scopi. In particolare si </w:t>
            </w:r>
            <w:proofErr w:type="gramStart"/>
            <w:r w:rsidRPr="00816B86">
              <w:t>propone  il</w:t>
            </w:r>
            <w:proofErr w:type="gramEnd"/>
            <w:r w:rsidRPr="00816B86">
              <w:t xml:space="preserve"> miglioramento e il rinnovamento della scuola e di ogni altra istituzione a carattere educativo, nonché la valorizzazione, il potenziamento e lo sviluppo degli studi e delle ricerche pedagogiche  ed a tal fine organizza ogni triennio un Congresso Nazionale di Pedagogia, teso ad approfondire  una o più tematiche di particolare rilievo ed attualità in campo educativo e pedagogico. </w:t>
            </w:r>
            <w:proofErr w:type="gramStart"/>
            <w:r w:rsidRPr="00816B86">
              <w:t>La  sua</w:t>
            </w:r>
            <w:proofErr w:type="gramEnd"/>
            <w:r w:rsidRPr="00816B86">
              <w:t xml:space="preserve"> opera è rivolta, prevalentemente, alla realizzazione e alla progettazione di attività quali la  formazione, l’aggiornamento e la qualificazione dei docenti e di quanti si impegnano nel settore  educativo. L’Associazione durerà fino a quando gli Associati decideranno di decretarne </w:t>
            </w:r>
            <w:proofErr w:type="gramStart"/>
            <w:r w:rsidRPr="00816B86">
              <w:t>lo  scioglimento</w:t>
            </w:r>
            <w:proofErr w:type="gramEnd"/>
            <w:r w:rsidRPr="00816B86">
              <w:t>.</w:t>
            </w:r>
            <w:r w:rsidR="00D04070">
              <w:t xml:space="preserve"> </w:t>
            </w:r>
            <w:r w:rsidR="00D04070" w:rsidRPr="00D04070">
              <w:t>Associazione Pedagogica Italiana, organizza un’attività formativa finalizzata alla preparazione dei candidati al concorso per Insegnanti Abilitati bandito dal MIUR per il 2018 con decreto ministeriale n. 995 del 15 dicembre 2017.</w:t>
            </w:r>
          </w:p>
        </w:tc>
      </w:tr>
      <w:tr w:rsidR="007A7AC2" w14:paraId="3C425D8E" w14:textId="77777777" w:rsidTr="007A7AC2">
        <w:tc>
          <w:tcPr>
            <w:tcW w:w="9628" w:type="dxa"/>
          </w:tcPr>
          <w:p w14:paraId="7FC8250D" w14:textId="77777777" w:rsidR="007A7AC2" w:rsidRDefault="007A7AC2" w:rsidP="00816B86">
            <w:pPr>
              <w:pStyle w:val="Paragrafoelenco"/>
              <w:numPr>
                <w:ilvl w:val="0"/>
                <w:numId w:val="1"/>
              </w:numPr>
            </w:pPr>
            <w:r w:rsidRPr="00816B86">
              <w:rPr>
                <w:b/>
                <w:sz w:val="32"/>
              </w:rPr>
              <w:t>Titolo</w:t>
            </w:r>
            <w:r>
              <w:t xml:space="preserve"> </w:t>
            </w:r>
            <w:r w:rsidRPr="00816B86">
              <w:rPr>
                <w:b/>
                <w:sz w:val="32"/>
              </w:rPr>
              <w:t>di studio richiesto</w:t>
            </w:r>
          </w:p>
        </w:tc>
      </w:tr>
      <w:tr w:rsidR="007A7AC2" w14:paraId="3B3291FE" w14:textId="77777777" w:rsidTr="007A7AC2">
        <w:tc>
          <w:tcPr>
            <w:tcW w:w="9628" w:type="dxa"/>
          </w:tcPr>
          <w:p w14:paraId="590BF7E9" w14:textId="77777777" w:rsidR="007A7AC2" w:rsidRDefault="00D04070" w:rsidP="007A7AC2">
            <w:r w:rsidRPr="00D04070">
              <w:t xml:space="preserve">Gli Associati saranno liberi di iscriversi direttamente alla sede Nazionale – in Roma </w:t>
            </w:r>
            <w:proofErr w:type="gramStart"/>
            <w:r w:rsidRPr="00D04070">
              <w:t>–  o</w:t>
            </w:r>
            <w:proofErr w:type="gramEnd"/>
            <w:r w:rsidRPr="00D04070">
              <w:t xml:space="preserve"> presso le sezioni più vicine</w:t>
            </w:r>
          </w:p>
        </w:tc>
      </w:tr>
      <w:tr w:rsidR="007A7AC2" w14:paraId="080D5C3B" w14:textId="77777777" w:rsidTr="007A7AC2">
        <w:tc>
          <w:tcPr>
            <w:tcW w:w="9628" w:type="dxa"/>
          </w:tcPr>
          <w:p w14:paraId="1E1789C7" w14:textId="77777777" w:rsidR="007A7AC2" w:rsidRDefault="007A7AC2" w:rsidP="00816B86">
            <w:pPr>
              <w:pStyle w:val="Paragrafoelenco"/>
              <w:numPr>
                <w:ilvl w:val="0"/>
                <w:numId w:val="1"/>
              </w:numPr>
            </w:pPr>
            <w:r w:rsidRPr="00816B86">
              <w:rPr>
                <w:b/>
                <w:sz w:val="32"/>
              </w:rPr>
              <w:t>Requisiti</w:t>
            </w:r>
            <w:r>
              <w:t xml:space="preserve"> </w:t>
            </w:r>
            <w:r w:rsidRPr="00816B86">
              <w:rPr>
                <w:b/>
                <w:sz w:val="32"/>
              </w:rPr>
              <w:t>d’accesso</w:t>
            </w:r>
          </w:p>
        </w:tc>
      </w:tr>
      <w:tr w:rsidR="007A7AC2" w14:paraId="78891312" w14:textId="77777777" w:rsidTr="007A7AC2">
        <w:tc>
          <w:tcPr>
            <w:tcW w:w="9628" w:type="dxa"/>
          </w:tcPr>
          <w:p w14:paraId="0397FB1C" w14:textId="77777777" w:rsidR="007A7AC2" w:rsidRDefault="00816B86" w:rsidP="007A7AC2">
            <w:r w:rsidRPr="00816B86">
              <w:t>Gli Associati sono obbligati a versare i contributi annuali posti a loro carico dal Comitato Nazionale di Coordinamento, con le modalità e nei tempi stabiliti dal Comitato medesimo.</w:t>
            </w:r>
            <w:r w:rsidR="00D04070">
              <w:t xml:space="preserve"> </w:t>
            </w:r>
            <w:r w:rsidR="00D04070" w:rsidRPr="00D04070">
              <w:t>L’ammissione di nuovi associati è decisa dal consiglio direttivo di ogni sezione.</w:t>
            </w:r>
          </w:p>
        </w:tc>
      </w:tr>
      <w:tr w:rsidR="007A7AC2" w14:paraId="47C7A195" w14:textId="77777777" w:rsidTr="007A7AC2">
        <w:tc>
          <w:tcPr>
            <w:tcW w:w="9628" w:type="dxa"/>
          </w:tcPr>
          <w:p w14:paraId="3DAD98B1" w14:textId="77777777" w:rsidR="007A7AC2" w:rsidRDefault="007A7AC2" w:rsidP="00816B86">
            <w:pPr>
              <w:pStyle w:val="Paragrafoelenco"/>
              <w:numPr>
                <w:ilvl w:val="0"/>
                <w:numId w:val="1"/>
              </w:numPr>
            </w:pPr>
            <w:r w:rsidRPr="00816B86">
              <w:rPr>
                <w:b/>
                <w:sz w:val="32"/>
              </w:rPr>
              <w:t>Definizione</w:t>
            </w:r>
            <w:r>
              <w:t xml:space="preserve"> </w:t>
            </w:r>
            <w:r w:rsidRPr="00816B86">
              <w:rPr>
                <w:b/>
                <w:sz w:val="32"/>
              </w:rPr>
              <w:t>di pedagogista</w:t>
            </w:r>
          </w:p>
        </w:tc>
      </w:tr>
      <w:tr w:rsidR="007A7AC2" w14:paraId="0A61B35E" w14:textId="77777777" w:rsidTr="007A7AC2">
        <w:tc>
          <w:tcPr>
            <w:tcW w:w="9628" w:type="dxa"/>
          </w:tcPr>
          <w:p w14:paraId="508E9E74" w14:textId="489576AC" w:rsidR="007A7AC2" w:rsidRDefault="008F6916" w:rsidP="007A7AC2">
            <w:r>
              <w:t>Informazione non reperibile</w:t>
            </w:r>
          </w:p>
        </w:tc>
      </w:tr>
      <w:tr w:rsidR="008F6916" w14:paraId="63E7C448" w14:textId="77777777" w:rsidTr="007A7AC2">
        <w:tc>
          <w:tcPr>
            <w:tcW w:w="9628" w:type="dxa"/>
          </w:tcPr>
          <w:p w14:paraId="45AB9E61" w14:textId="60C89073" w:rsidR="008F6916" w:rsidRDefault="008F6916" w:rsidP="008F6916">
            <w:pPr>
              <w:pStyle w:val="Paragrafoelenco"/>
              <w:numPr>
                <w:ilvl w:val="0"/>
                <w:numId w:val="1"/>
              </w:numPr>
            </w:pPr>
            <w:r w:rsidRPr="008F6916">
              <w:rPr>
                <w:b/>
                <w:sz w:val="32"/>
              </w:rPr>
              <w:t>Definizione di educatore</w:t>
            </w:r>
          </w:p>
        </w:tc>
      </w:tr>
      <w:tr w:rsidR="008F6916" w14:paraId="5A477B00" w14:textId="77777777" w:rsidTr="007A7AC2">
        <w:tc>
          <w:tcPr>
            <w:tcW w:w="9628" w:type="dxa"/>
          </w:tcPr>
          <w:p w14:paraId="23B46305" w14:textId="1281DFB6" w:rsidR="008F6916" w:rsidRDefault="008F6916" w:rsidP="007A7AC2">
            <w:r>
              <w:t>Informazione non reperibile</w:t>
            </w:r>
          </w:p>
        </w:tc>
      </w:tr>
      <w:tr w:rsidR="007A7AC2" w14:paraId="42280095" w14:textId="77777777" w:rsidTr="007A7AC2">
        <w:tc>
          <w:tcPr>
            <w:tcW w:w="9628" w:type="dxa"/>
          </w:tcPr>
          <w:p w14:paraId="612ACDDA" w14:textId="77777777" w:rsidR="007A7AC2" w:rsidRDefault="007A7AC2" w:rsidP="00816B86">
            <w:pPr>
              <w:pStyle w:val="Paragrafoelenco"/>
              <w:numPr>
                <w:ilvl w:val="0"/>
                <w:numId w:val="1"/>
              </w:numPr>
            </w:pPr>
            <w:r w:rsidRPr="00816B86">
              <w:rPr>
                <w:b/>
                <w:sz w:val="32"/>
              </w:rPr>
              <w:t>Codice</w:t>
            </w:r>
            <w:r>
              <w:t xml:space="preserve"> </w:t>
            </w:r>
            <w:r w:rsidRPr="00816B86">
              <w:rPr>
                <w:b/>
                <w:sz w:val="32"/>
              </w:rPr>
              <w:t>deontologico</w:t>
            </w:r>
          </w:p>
        </w:tc>
      </w:tr>
      <w:tr w:rsidR="007A7AC2" w14:paraId="28D8B739" w14:textId="77777777" w:rsidTr="007A7AC2">
        <w:tc>
          <w:tcPr>
            <w:tcW w:w="9628" w:type="dxa"/>
          </w:tcPr>
          <w:p w14:paraId="13AB2C8C" w14:textId="0DB8D369" w:rsidR="007A7AC2" w:rsidRDefault="008F6916" w:rsidP="007A7AC2">
            <w:r>
              <w:t>Informazione non reperibile</w:t>
            </w:r>
          </w:p>
        </w:tc>
      </w:tr>
      <w:tr w:rsidR="008F6916" w14:paraId="55A2E12A" w14:textId="77777777" w:rsidTr="007A7AC2">
        <w:tc>
          <w:tcPr>
            <w:tcW w:w="9628" w:type="dxa"/>
          </w:tcPr>
          <w:p w14:paraId="6C0D4F2A" w14:textId="6AC7C11D" w:rsidR="008F6916" w:rsidRDefault="008F6916" w:rsidP="008F6916">
            <w:pPr>
              <w:pStyle w:val="Paragrafoelenco"/>
              <w:numPr>
                <w:ilvl w:val="0"/>
                <w:numId w:val="1"/>
              </w:numPr>
            </w:pPr>
            <w:r w:rsidRPr="008F6916">
              <w:rPr>
                <w:b/>
                <w:sz w:val="32"/>
              </w:rPr>
              <w:t>Numero iscritti</w:t>
            </w:r>
          </w:p>
        </w:tc>
      </w:tr>
      <w:tr w:rsidR="004F67AD" w14:paraId="392CED98" w14:textId="77777777" w:rsidTr="007A7AC2">
        <w:tc>
          <w:tcPr>
            <w:tcW w:w="9628" w:type="dxa"/>
          </w:tcPr>
          <w:p w14:paraId="1CF9E0AC" w14:textId="3D60E0AA" w:rsidR="004F67AD" w:rsidRPr="004F67AD" w:rsidRDefault="008F6916" w:rsidP="007A7AC2">
            <w:pPr>
              <w:rPr>
                <w:b/>
              </w:rPr>
            </w:pPr>
            <w:r w:rsidRPr="008F6916">
              <w:t>Informazione non reperibile</w:t>
            </w:r>
            <w:r>
              <w:rPr>
                <w:b/>
              </w:rPr>
              <w:t xml:space="preserve"> (</w:t>
            </w:r>
            <w:r w:rsidR="004F67AD" w:rsidRPr="004F67AD">
              <w:rPr>
                <w:b/>
              </w:rPr>
              <w:t>L’elenco degli iscritti è accessibile solo agli iscritti stessi</w:t>
            </w:r>
            <w:r>
              <w:rPr>
                <w:b/>
              </w:rPr>
              <w:t>)</w:t>
            </w:r>
          </w:p>
        </w:tc>
      </w:tr>
    </w:tbl>
    <w:p w14:paraId="0BA3A229" w14:textId="77777777" w:rsidR="007723EB" w:rsidRDefault="007723EB"/>
    <w:sectPr w:rsidR="007723EB" w:rsidSect="00A626C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6865" w14:textId="77777777" w:rsidR="0036647E" w:rsidRDefault="0036647E" w:rsidP="00DA6C3E">
      <w:pPr>
        <w:spacing w:after="0" w:line="240" w:lineRule="auto"/>
      </w:pPr>
      <w:r>
        <w:separator/>
      </w:r>
    </w:p>
  </w:endnote>
  <w:endnote w:type="continuationSeparator" w:id="0">
    <w:p w14:paraId="136EBE28" w14:textId="77777777" w:rsidR="0036647E" w:rsidRDefault="0036647E" w:rsidP="00DA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C4A4" w14:textId="77777777" w:rsidR="00DA6C3E" w:rsidRDefault="00DA6C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79E0" w14:textId="77777777" w:rsidR="00DA6C3E" w:rsidRDefault="00DA6C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ECEA" w14:textId="77777777" w:rsidR="00DA6C3E" w:rsidRDefault="00DA6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C178" w14:textId="77777777" w:rsidR="0036647E" w:rsidRDefault="0036647E" w:rsidP="00DA6C3E">
      <w:pPr>
        <w:spacing w:after="0" w:line="240" w:lineRule="auto"/>
      </w:pPr>
      <w:r>
        <w:separator/>
      </w:r>
    </w:p>
  </w:footnote>
  <w:footnote w:type="continuationSeparator" w:id="0">
    <w:p w14:paraId="75783462" w14:textId="77777777" w:rsidR="0036647E" w:rsidRDefault="0036647E" w:rsidP="00DA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0470" w14:textId="77777777" w:rsidR="00DA6C3E" w:rsidRDefault="00DA6C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76" w14:textId="77777777" w:rsidR="00DA6C3E" w:rsidRDefault="00DA6C3E" w:rsidP="00DA6C3E">
    <w:pPr>
      <w:pStyle w:val="Intestazione"/>
      <w:tabs>
        <w:tab w:val="clear" w:pos="4819"/>
        <w:tab w:val="clear" w:pos="9638"/>
        <w:tab w:val="left" w:pos="2552"/>
        <w:tab w:val="center" w:pos="5245"/>
        <w:tab w:val="right" w:pos="8789"/>
      </w:tabs>
    </w:pPr>
    <w:r>
      <w:t>Spoladore</w:t>
    </w:r>
    <w:r>
      <w:tab/>
      <w:t>Costabile</w:t>
    </w:r>
    <w:r>
      <w:tab/>
      <w:t>Fantozzi</w:t>
    </w:r>
    <w:r>
      <w:tab/>
      <w:t>Galloni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7338" w14:textId="77777777" w:rsidR="00DA6C3E" w:rsidRDefault="00DA6C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2A6"/>
    <w:multiLevelType w:val="hybridMultilevel"/>
    <w:tmpl w:val="1EA2B5B0"/>
    <w:lvl w:ilvl="0" w:tplc="A47CB204">
      <w:start w:val="1"/>
      <w:numFmt w:val="upperLetter"/>
      <w:lvlText w:val="%1-"/>
      <w:lvlJc w:val="left"/>
      <w:pPr>
        <w:ind w:left="720" w:hanging="360"/>
      </w:pPr>
      <w:rPr>
        <w:rFonts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C2"/>
    <w:rsid w:val="0036647E"/>
    <w:rsid w:val="00373944"/>
    <w:rsid w:val="004F67AD"/>
    <w:rsid w:val="007723EB"/>
    <w:rsid w:val="007A7AC2"/>
    <w:rsid w:val="00816B86"/>
    <w:rsid w:val="008F6916"/>
    <w:rsid w:val="00A626C3"/>
    <w:rsid w:val="00AD3A1D"/>
    <w:rsid w:val="00B11BD4"/>
    <w:rsid w:val="00B6628C"/>
    <w:rsid w:val="00C72E32"/>
    <w:rsid w:val="00D04070"/>
    <w:rsid w:val="00DA6C3E"/>
    <w:rsid w:val="00DE78F8"/>
    <w:rsid w:val="00E57E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4938"/>
  <w15:chartTrackingRefBased/>
  <w15:docId w15:val="{A3C5131A-9014-4FF9-A78A-DE455351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A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7AC2"/>
    <w:pPr>
      <w:ind w:left="720"/>
      <w:contextualSpacing/>
    </w:pPr>
  </w:style>
  <w:style w:type="character" w:styleId="Collegamentoipertestuale">
    <w:name w:val="Hyperlink"/>
    <w:basedOn w:val="Carpredefinitoparagrafo"/>
    <w:uiPriority w:val="99"/>
    <w:semiHidden/>
    <w:unhideWhenUsed/>
    <w:rsid w:val="007A7AC2"/>
    <w:rPr>
      <w:color w:val="0000FF"/>
      <w:u w:val="single"/>
    </w:rPr>
  </w:style>
  <w:style w:type="paragraph" w:styleId="Intestazione">
    <w:name w:val="header"/>
    <w:basedOn w:val="Normale"/>
    <w:link w:val="IntestazioneCarattere"/>
    <w:uiPriority w:val="99"/>
    <w:unhideWhenUsed/>
    <w:rsid w:val="00DA6C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C3E"/>
  </w:style>
  <w:style w:type="paragraph" w:styleId="Pidipagina">
    <w:name w:val="footer"/>
    <w:basedOn w:val="Normale"/>
    <w:link w:val="PidipaginaCarattere"/>
    <w:uiPriority w:val="99"/>
    <w:unhideWhenUsed/>
    <w:rsid w:val="00DA6C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google.com/site/aspeinazional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Spoladore</dc:creator>
  <cp:keywords/>
  <dc:description/>
  <cp:lastModifiedBy>Roberto Lozupone</cp:lastModifiedBy>
  <cp:revision>3</cp:revision>
  <dcterms:created xsi:type="dcterms:W3CDTF">2019-04-29T15:39:00Z</dcterms:created>
  <dcterms:modified xsi:type="dcterms:W3CDTF">2019-04-29T16:09:00Z</dcterms:modified>
</cp:coreProperties>
</file>