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98" w:rsidRPr="001E7087" w:rsidRDefault="00E02D98" w:rsidP="001E7087">
      <w:pPr>
        <w:pStyle w:val="NormaleWeb"/>
        <w:spacing w:before="0" w:beforeAutospacing="0" w:after="346" w:afterAutospacing="0" w:line="346" w:lineRule="atLeast"/>
        <w:rPr>
          <w:rStyle w:val="Enfasigrassetto"/>
          <w:rFonts w:asciiTheme="majorHAnsi" w:hAnsiTheme="majorHAnsi"/>
          <w:b w:val="0"/>
          <w:sz w:val="22"/>
          <w:szCs w:val="22"/>
        </w:rPr>
      </w:pPr>
      <w:r w:rsidRPr="001E7087">
        <w:rPr>
          <w:rStyle w:val="Enfasigrassetto"/>
          <w:rFonts w:asciiTheme="majorHAnsi" w:hAnsiTheme="majorHAnsi"/>
          <w:b w:val="0"/>
          <w:sz w:val="22"/>
          <w:szCs w:val="22"/>
        </w:rPr>
        <w:t>LAVORO PUBBLICO</w:t>
      </w:r>
    </w:p>
    <w:p w:rsidR="00E02D98" w:rsidRPr="001E7087" w:rsidRDefault="00E02D98" w:rsidP="001E7087">
      <w:pPr>
        <w:pStyle w:val="NormaleWeb"/>
        <w:spacing w:before="0" w:beforeAutospacing="0" w:after="346" w:afterAutospacing="0" w:line="346" w:lineRule="atLeast"/>
        <w:rPr>
          <w:rStyle w:val="pttestoseguente"/>
          <w:rFonts w:asciiTheme="majorHAnsi" w:hAnsiTheme="majorHAnsi"/>
          <w:sz w:val="22"/>
          <w:szCs w:val="22"/>
        </w:rPr>
      </w:pPr>
      <w:r w:rsidRPr="001E7087">
        <w:rPr>
          <w:rStyle w:val="pttestoseguente"/>
          <w:rFonts w:asciiTheme="majorHAnsi" w:hAnsiTheme="majorHAnsi"/>
          <w:sz w:val="22"/>
          <w:szCs w:val="22"/>
        </w:rPr>
        <w:t>Il lavoro pubblico, definito a</w:t>
      </w:r>
      <w:r w:rsidR="00623055" w:rsidRPr="001E7087">
        <w:rPr>
          <w:rStyle w:val="pttestoseguente"/>
          <w:rFonts w:asciiTheme="majorHAnsi" w:hAnsiTheme="majorHAnsi"/>
          <w:sz w:val="22"/>
          <w:szCs w:val="22"/>
        </w:rPr>
        <w:t>nche pubblico impiego, indica</w:t>
      </w:r>
      <w:r w:rsidRPr="001E7087">
        <w:rPr>
          <w:rStyle w:val="pttestoseguente"/>
          <w:rFonts w:asciiTheme="majorHAnsi" w:hAnsiTheme="majorHAnsi"/>
          <w:sz w:val="22"/>
          <w:szCs w:val="22"/>
        </w:rPr>
        <w:t xml:space="preserve"> il rapporto di lavoro alle dipendenze dell’ </w:t>
      </w:r>
      <w:hyperlink r:id="rId4" w:history="1">
        <w:r w:rsidRPr="001E7087">
          <w:rPr>
            <w:rStyle w:val="Collegamentoipertestuale"/>
            <w:rFonts w:asciiTheme="majorHAnsi" w:hAnsiTheme="majorHAnsi"/>
            <w:color w:val="auto"/>
            <w:sz w:val="22"/>
            <w:szCs w:val="22"/>
            <w:u w:val="none"/>
          </w:rPr>
          <w:t>amministrazione pubblica</w:t>
        </w:r>
      </w:hyperlink>
      <w:r w:rsidRPr="001E7087">
        <w:rPr>
          <w:rStyle w:val="pttestoseguente"/>
          <w:rFonts w:asciiTheme="majorHAnsi" w:hAnsiTheme="majorHAnsi"/>
          <w:sz w:val="22"/>
          <w:szCs w:val="22"/>
        </w:rPr>
        <w:t>, ovvero delle amministrazioni dello Stato (inclusi istituti e scuole di ogni ordine e grado, istituzioni educative, aziende e amministrazioni dello Stato a ordinamento autonomo), delle </w:t>
      </w:r>
      <w:hyperlink r:id="rId5" w:history="1">
        <w:r w:rsidRPr="001E7087">
          <w:rPr>
            <w:rStyle w:val="Collegamentoipertestuale"/>
            <w:rFonts w:asciiTheme="majorHAnsi" w:hAnsiTheme="majorHAnsi"/>
            <w:color w:val="auto"/>
            <w:sz w:val="22"/>
            <w:szCs w:val="22"/>
            <w:u w:val="none"/>
          </w:rPr>
          <w:t>Regioni</w:t>
        </w:r>
      </w:hyperlink>
      <w:r w:rsidRPr="001E7087">
        <w:rPr>
          <w:rStyle w:val="pttestoseguente"/>
          <w:rFonts w:asciiTheme="majorHAnsi" w:hAnsiTheme="majorHAnsi"/>
          <w:sz w:val="22"/>
          <w:szCs w:val="22"/>
        </w:rPr>
        <w:t>, delle </w:t>
      </w:r>
      <w:hyperlink r:id="rId6" w:history="1">
        <w:r w:rsidRPr="001E7087">
          <w:rPr>
            <w:rStyle w:val="Collegamentoipertestuale"/>
            <w:rFonts w:asciiTheme="majorHAnsi" w:hAnsiTheme="majorHAnsi"/>
            <w:color w:val="auto"/>
            <w:sz w:val="22"/>
            <w:szCs w:val="22"/>
            <w:u w:val="none"/>
          </w:rPr>
          <w:t>Province</w:t>
        </w:r>
      </w:hyperlink>
      <w:r w:rsidRPr="001E7087">
        <w:rPr>
          <w:rStyle w:val="pttestoseguente"/>
          <w:rFonts w:asciiTheme="majorHAnsi" w:hAnsiTheme="majorHAnsi"/>
          <w:sz w:val="22"/>
          <w:szCs w:val="22"/>
        </w:rPr>
        <w:t xml:space="preserve"> e dei </w:t>
      </w:r>
      <w:hyperlink r:id="rId7" w:history="1">
        <w:r w:rsidRPr="001E7087">
          <w:rPr>
            <w:rStyle w:val="Collegamentoipertestuale"/>
            <w:rFonts w:asciiTheme="majorHAnsi" w:hAnsiTheme="majorHAnsi"/>
            <w:color w:val="auto"/>
            <w:sz w:val="22"/>
            <w:szCs w:val="22"/>
            <w:u w:val="none"/>
          </w:rPr>
          <w:t>Comuni</w:t>
        </w:r>
      </w:hyperlink>
      <w:r w:rsidR="00623055" w:rsidRPr="001E7087">
        <w:rPr>
          <w:rFonts w:asciiTheme="majorHAnsi" w:hAnsiTheme="majorHAnsi"/>
          <w:sz w:val="22"/>
          <w:szCs w:val="22"/>
        </w:rPr>
        <w:t>; perciò il lavoratore si mette a servizio dello Stato, o di un ente pubblico</w:t>
      </w:r>
      <w:r w:rsidR="001A3082" w:rsidRPr="001E7087">
        <w:rPr>
          <w:rFonts w:asciiTheme="majorHAnsi" w:hAnsiTheme="majorHAnsi"/>
          <w:sz w:val="22"/>
          <w:szCs w:val="22"/>
        </w:rPr>
        <w:t>, ma per fare ciò è necessario superare un concorso</w:t>
      </w:r>
      <w:r w:rsidR="00623055" w:rsidRPr="001E7087">
        <w:rPr>
          <w:rFonts w:asciiTheme="majorHAnsi" w:hAnsiTheme="majorHAnsi"/>
          <w:sz w:val="22"/>
          <w:szCs w:val="22"/>
        </w:rPr>
        <w:t xml:space="preserve">. </w:t>
      </w:r>
      <w:r w:rsidRPr="001E7087">
        <w:rPr>
          <w:rStyle w:val="pttestoseguente"/>
          <w:rFonts w:asciiTheme="majorHAnsi" w:hAnsiTheme="majorHAnsi"/>
          <w:sz w:val="22"/>
          <w:szCs w:val="22"/>
        </w:rPr>
        <w:t xml:space="preserve">Per migliorare l’efficienza e la produttività dell’amministrazione pubblica, con il d.lgs. n. 29/1993 il legislatore ha inteso trasferire la disciplina del rapporto intercorrente tra la pubblica amministrazione e i suoi dipendenti dall’ambito amministrativo a quello privatistico, mediante la cosiddetta privatizzazione del pubblico impiego. </w:t>
      </w:r>
    </w:p>
    <w:p w:rsidR="00FB6C91" w:rsidRPr="001E7087" w:rsidRDefault="001A3082" w:rsidP="001E7087">
      <w:pPr>
        <w:pStyle w:val="NormaleWeb"/>
        <w:spacing w:before="0" w:beforeAutospacing="0" w:after="346" w:afterAutospacing="0" w:line="346" w:lineRule="atLeast"/>
        <w:rPr>
          <w:rStyle w:val="pttestoseguente"/>
          <w:rFonts w:asciiTheme="majorHAnsi" w:hAnsiTheme="majorHAnsi"/>
          <w:sz w:val="22"/>
          <w:szCs w:val="22"/>
        </w:rPr>
      </w:pPr>
      <w:r w:rsidRPr="001E7087">
        <w:rPr>
          <w:rStyle w:val="pttestoseguente"/>
          <w:rFonts w:asciiTheme="majorHAnsi" w:hAnsiTheme="majorHAnsi"/>
          <w:sz w:val="22"/>
          <w:szCs w:val="22"/>
        </w:rPr>
        <w:t>LAVORO PRIVATO</w:t>
      </w:r>
    </w:p>
    <w:p w:rsidR="001A3082" w:rsidRPr="001E7087" w:rsidRDefault="001A3082" w:rsidP="001E7087">
      <w:pPr>
        <w:pStyle w:val="NormaleWeb"/>
        <w:spacing w:before="0" w:beforeAutospacing="0" w:after="346" w:afterAutospacing="0" w:line="346" w:lineRule="atLeast"/>
        <w:rPr>
          <w:rStyle w:val="pttestoseguente"/>
          <w:rFonts w:asciiTheme="majorHAnsi" w:hAnsiTheme="majorHAnsi"/>
          <w:sz w:val="22"/>
          <w:szCs w:val="22"/>
        </w:rPr>
      </w:pPr>
      <w:r w:rsidRPr="001E7087">
        <w:rPr>
          <w:rStyle w:val="pttestoseguente"/>
          <w:rFonts w:asciiTheme="majorHAnsi" w:hAnsiTheme="majorHAnsi"/>
          <w:sz w:val="22"/>
          <w:szCs w:val="22"/>
        </w:rPr>
        <w:t>Il lavoro privato indica quel tipo di lavoro privo di vincoli statali in cui un individuo è alle dipendenze di un ente privato, al quale ci accede tramite l’assunzione da parte del datore di lavoro, senza dover sostenere alcun concorso; tale rapporto, tra lavoratore subordinato e datore di lavoro, è regolato da un contratto.</w:t>
      </w:r>
    </w:p>
    <w:p w:rsidR="00662E1C" w:rsidRPr="001E7087" w:rsidRDefault="001A3082" w:rsidP="001E7087">
      <w:pPr>
        <w:pStyle w:val="NormaleWeb"/>
        <w:spacing w:before="0" w:beforeAutospacing="0" w:after="346" w:afterAutospacing="0" w:line="346" w:lineRule="atLeast"/>
        <w:rPr>
          <w:rStyle w:val="pttestoseguente"/>
          <w:rFonts w:asciiTheme="majorHAnsi" w:hAnsiTheme="majorHAnsi"/>
          <w:sz w:val="22"/>
          <w:szCs w:val="22"/>
        </w:rPr>
      </w:pPr>
      <w:r w:rsidRPr="001E7087">
        <w:rPr>
          <w:rStyle w:val="pttestoseguente"/>
          <w:rFonts w:asciiTheme="majorHAnsi" w:hAnsiTheme="majorHAnsi"/>
          <w:sz w:val="22"/>
          <w:szCs w:val="22"/>
        </w:rPr>
        <w:t>TERZO SETTORE</w:t>
      </w:r>
    </w:p>
    <w:p w:rsidR="001A3082" w:rsidRPr="001E7087" w:rsidRDefault="001A3082" w:rsidP="001E7087">
      <w:pPr>
        <w:pStyle w:val="NormaleWeb"/>
        <w:spacing w:before="0" w:beforeAutospacing="0" w:after="346" w:afterAutospacing="0" w:line="346" w:lineRule="atLeast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1E7087">
        <w:rPr>
          <w:rStyle w:val="pttestoseguente"/>
          <w:rFonts w:asciiTheme="majorHAnsi" w:hAnsiTheme="majorHAnsi"/>
          <w:sz w:val="22"/>
          <w:szCs w:val="22"/>
        </w:rPr>
        <w:t xml:space="preserve"> </w:t>
      </w:r>
      <w:r w:rsidR="005C2E8C" w:rsidRPr="001E7087">
        <w:rPr>
          <w:rFonts w:asciiTheme="majorHAnsi" w:hAnsiTheme="majorHAnsi" w:cs="Arial"/>
          <w:sz w:val="22"/>
          <w:szCs w:val="22"/>
          <w:shd w:val="clear" w:color="auto" w:fill="FFFFFF"/>
        </w:rPr>
        <w:t>L'espressione </w:t>
      </w:r>
      <w:r w:rsidR="005C2E8C" w:rsidRPr="001E7087">
        <w:rPr>
          <w:rFonts w:asciiTheme="majorHAnsi" w:hAnsiTheme="majorHAnsi" w:cs="Arial"/>
          <w:bCs/>
          <w:sz w:val="22"/>
          <w:szCs w:val="22"/>
          <w:shd w:val="clear" w:color="auto" w:fill="FFFFFF"/>
        </w:rPr>
        <w:t>terzo settore</w:t>
      </w:r>
      <w:r w:rsidR="005C2E8C" w:rsidRPr="001E7087">
        <w:rPr>
          <w:rFonts w:asciiTheme="majorHAnsi" w:hAnsiTheme="majorHAnsi" w:cs="Arial"/>
          <w:sz w:val="22"/>
          <w:szCs w:val="22"/>
          <w:shd w:val="clear" w:color="auto" w:fill="FFFFFF"/>
        </w:rPr>
        <w:t> identifica quegli enti che operano e si collocano in determinati settori, ma non riconducibili né al mercato né allo Stato;  indica pratiche e soggetti organizzativi di </w:t>
      </w:r>
      <w:r w:rsidR="005C2E8C" w:rsidRPr="001E7087">
        <w:rPr>
          <w:rFonts w:asciiTheme="majorHAnsi" w:hAnsiTheme="majorHAnsi" w:cs="Arial"/>
          <w:iCs/>
          <w:sz w:val="22"/>
          <w:szCs w:val="22"/>
          <w:shd w:val="clear" w:color="auto" w:fill="FFFFFF"/>
        </w:rPr>
        <w:t>natura privata</w:t>
      </w:r>
      <w:r w:rsidR="005C2E8C" w:rsidRPr="001E7087">
        <w:rPr>
          <w:rFonts w:asciiTheme="majorHAnsi" w:hAnsiTheme="majorHAnsi" w:cs="Arial"/>
          <w:sz w:val="22"/>
          <w:szCs w:val="22"/>
          <w:shd w:val="clear" w:color="auto" w:fill="FFFFFF"/>
        </w:rPr>
        <w:t> ma volti alla produzione di </w:t>
      </w:r>
      <w:r w:rsidR="005C2E8C" w:rsidRPr="001E7087">
        <w:rPr>
          <w:rFonts w:asciiTheme="majorHAnsi" w:hAnsiTheme="majorHAnsi" w:cs="Arial"/>
          <w:iCs/>
          <w:sz w:val="22"/>
          <w:szCs w:val="22"/>
          <w:shd w:val="clear" w:color="auto" w:fill="FFFFFF"/>
        </w:rPr>
        <w:t xml:space="preserve">beni e servizi a valenza pubblica o collettiva </w:t>
      </w:r>
      <w:r w:rsidR="005C2E8C" w:rsidRPr="001E7087">
        <w:rPr>
          <w:rFonts w:asciiTheme="majorHAnsi" w:hAnsiTheme="majorHAnsi" w:cs="Arial"/>
          <w:sz w:val="22"/>
          <w:szCs w:val="22"/>
          <w:shd w:val="clear" w:color="auto" w:fill="FFFFFF"/>
        </w:rPr>
        <w:t>promuovendo e realizzando attività di interesse generale mediante forme di azione volontaria e gratuita o di mutualità o di produzione e scambio di beni e servizi.  All'art. 1 comma 1 della Legge 106 del 6 giugno 2016 si legge: "Per Terzo settore si intende il complesso degli enti privati costituiti per il perseguimento, senza scopo di lucro, di finalità civiche, solidaristiche e di utilità sociale e che, in attuazione del principio di sussidiarietà e in coerenza con i rispettivi statuti o atti costitutivi, promuovono e realizzano attività di interesse generale mediante forme di azione volontaria e gratuita o di mutualità o di produzione e scambio di beni e servizi"</w:t>
      </w:r>
      <w:r w:rsidR="00FB6C91" w:rsidRPr="001E7087">
        <w:rPr>
          <w:rFonts w:asciiTheme="majorHAnsi" w:hAnsiTheme="majorHAnsi" w:cs="Arial"/>
          <w:sz w:val="22"/>
          <w:szCs w:val="22"/>
          <w:shd w:val="clear" w:color="auto" w:fill="FFFFFF"/>
        </w:rPr>
        <w:t>. Gli enti del terzo settore possono avere strutture organizzative differenti a seconda della loro natura giuridica</w:t>
      </w:r>
      <w:r w:rsidR="001072E9" w:rsidRPr="001E7087">
        <w:rPr>
          <w:rFonts w:asciiTheme="majorHAnsi" w:hAnsiTheme="majorHAnsi" w:cs="Arial"/>
          <w:sz w:val="22"/>
          <w:szCs w:val="22"/>
          <w:shd w:val="clear" w:color="auto" w:fill="FFFFFF"/>
        </w:rPr>
        <w:t>.</w:t>
      </w:r>
    </w:p>
    <w:p w:rsidR="001072E9" w:rsidRPr="00FB6C91" w:rsidRDefault="001072E9" w:rsidP="001E7087">
      <w:pPr>
        <w:pStyle w:val="NormaleWeb"/>
        <w:spacing w:before="0" w:beforeAutospacing="0" w:after="346" w:afterAutospacing="0" w:line="346" w:lineRule="atLeast"/>
        <w:rPr>
          <w:rStyle w:val="pttestoseguente"/>
          <w:rFonts w:asciiTheme="majorHAnsi" w:hAnsiTheme="majorHAnsi"/>
          <w:sz w:val="22"/>
          <w:szCs w:val="22"/>
        </w:rPr>
      </w:pPr>
      <w:r w:rsidRPr="001E7087">
        <w:rPr>
          <w:rFonts w:asciiTheme="majorHAnsi" w:hAnsiTheme="majorHAnsi" w:cs="Arial"/>
          <w:sz w:val="22"/>
          <w:szCs w:val="22"/>
          <w:shd w:val="clear" w:color="auto" w:fill="FFFFFF"/>
        </w:rPr>
        <w:t>Cecilia Santoponte</w:t>
      </w:r>
    </w:p>
    <w:p w:rsidR="001A3082" w:rsidRDefault="001A3082" w:rsidP="001E7087">
      <w:pPr>
        <w:pStyle w:val="NormaleWeb"/>
        <w:spacing w:before="0" w:beforeAutospacing="0" w:after="346" w:afterAutospacing="0" w:line="346" w:lineRule="atLeast"/>
        <w:rPr>
          <w:rStyle w:val="pttestoseguente"/>
          <w:rFonts w:ascii="Garamond" w:hAnsi="Garamond"/>
          <w:color w:val="3E3F3E"/>
          <w:sz w:val="25"/>
          <w:szCs w:val="25"/>
        </w:rPr>
      </w:pPr>
    </w:p>
    <w:p w:rsidR="00281177" w:rsidRDefault="00281177" w:rsidP="001E7087"/>
    <w:sectPr w:rsidR="00281177" w:rsidSect="00281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characterSpacingControl w:val="doNotCompress"/>
  <w:compat/>
  <w:rsids>
    <w:rsidRoot w:val="00E02D98"/>
    <w:rsid w:val="001072E9"/>
    <w:rsid w:val="001A3082"/>
    <w:rsid w:val="001E7087"/>
    <w:rsid w:val="00267B2C"/>
    <w:rsid w:val="00281177"/>
    <w:rsid w:val="005C2E8C"/>
    <w:rsid w:val="00623055"/>
    <w:rsid w:val="00662E1C"/>
    <w:rsid w:val="00E02D98"/>
    <w:rsid w:val="00FB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1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02D98"/>
    <w:rPr>
      <w:b/>
      <w:bCs/>
    </w:rPr>
  </w:style>
  <w:style w:type="character" w:customStyle="1" w:styleId="pttestoseguente">
    <w:name w:val="pt_testoseguente"/>
    <w:basedOn w:val="Carpredefinitoparagrafo"/>
    <w:rsid w:val="00E02D98"/>
  </w:style>
  <w:style w:type="character" w:styleId="Collegamentoipertestuale">
    <w:name w:val="Hyperlink"/>
    <w:basedOn w:val="Carpredefinitoparagrafo"/>
    <w:uiPriority w:val="99"/>
    <w:semiHidden/>
    <w:unhideWhenUsed/>
    <w:rsid w:val="00E02D9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02D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eccani.it/enciclopedia/comu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ccani.it/enciclopedia/provincia/" TargetMode="External"/><Relationship Id="rId5" Type="http://schemas.openxmlformats.org/officeDocument/2006/relationships/hyperlink" Target="http://www.treccani.it/enciclopedia/regione/" TargetMode="External"/><Relationship Id="rId4" Type="http://schemas.openxmlformats.org/officeDocument/2006/relationships/hyperlink" Target="http://www.treccani.it/enciclopedia/pubblica-amministrazion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Santoponte</dc:creator>
  <cp:keywords/>
  <dc:description/>
  <cp:lastModifiedBy>Veronica Santoponte</cp:lastModifiedBy>
  <cp:revision>6</cp:revision>
  <dcterms:created xsi:type="dcterms:W3CDTF">2019-01-14T17:38:00Z</dcterms:created>
  <dcterms:modified xsi:type="dcterms:W3CDTF">2019-01-14T18:44:00Z</dcterms:modified>
</cp:coreProperties>
</file>