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1842" w14:textId="7386E783" w:rsidR="0023468A" w:rsidRPr="002572A2" w:rsidRDefault="00B72932">
      <w:pPr>
        <w:rPr>
          <w:b/>
          <w:sz w:val="32"/>
          <w:szCs w:val="32"/>
        </w:rPr>
      </w:pPr>
      <w:r w:rsidRPr="002572A2">
        <w:rPr>
          <w:b/>
          <w:sz w:val="32"/>
          <w:szCs w:val="32"/>
        </w:rPr>
        <w:t>Intro progetti Sapienza</w:t>
      </w:r>
    </w:p>
    <w:p w14:paraId="3FCB40EF" w14:textId="4ABBD1FA" w:rsidR="00B72932" w:rsidRDefault="00761552">
      <w:r>
        <w:rPr>
          <w:noProof/>
        </w:rPr>
        <w:drawing>
          <wp:anchor distT="0" distB="0" distL="114300" distR="114300" simplePos="0" relativeHeight="251667456" behindDoc="0" locked="0" layoutInCell="1" allowOverlap="1" wp14:anchorId="22734B00" wp14:editId="3C10F70C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4572000" cy="2743200"/>
            <wp:effectExtent l="0" t="0" r="19050" b="19050"/>
            <wp:wrapTopAndBottom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70EC25D3-80AF-4451-ADA8-C578B5BA4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4638F" w14:textId="77777777" w:rsidR="002572A2" w:rsidRDefault="002572A2"/>
    <w:p w14:paraId="3B99E68E" w14:textId="77777777" w:rsidR="004D2D4C" w:rsidRDefault="0074655F">
      <w:r>
        <w:t>Ci troviamo di fronte a tre ambiti in cui sono stati svolti alternanza scuola lavoro della sapienza, come possiamo vedere la biblioteca ha presentato più corsi di ASL (61%)</w:t>
      </w:r>
      <w:r w:rsidR="00A21624">
        <w:t>,</w:t>
      </w:r>
      <w:r>
        <w:t xml:space="preserve"> mentre l’ente radio ne ha presentato la percentuale minore (3%).</w:t>
      </w:r>
    </w:p>
    <w:p w14:paraId="6C053399" w14:textId="1A2EB1FA" w:rsidR="0074655F" w:rsidRDefault="007A2BA1">
      <w:r>
        <w:rPr>
          <w:noProof/>
        </w:rPr>
        <w:drawing>
          <wp:anchor distT="0" distB="0" distL="114300" distR="114300" simplePos="0" relativeHeight="251659264" behindDoc="0" locked="0" layoutInCell="1" allowOverlap="1" wp14:anchorId="59BCC942" wp14:editId="3A81D493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4572000" cy="2743200"/>
            <wp:effectExtent l="0" t="0" r="19050" b="19050"/>
            <wp:wrapTopAndBottom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1FF8BBA0-9D50-4DC5-BCA1-E6C7C3C5F2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68FE5" w14:textId="77777777" w:rsidR="004D2D4C" w:rsidRDefault="004D2D4C" w:rsidP="00A21624">
      <w:pPr>
        <w:spacing w:after="0"/>
      </w:pPr>
    </w:p>
    <w:p w14:paraId="1E995FA8" w14:textId="77777777" w:rsidR="0074655F" w:rsidRDefault="0074655F" w:rsidP="00A21624">
      <w:pPr>
        <w:spacing w:after="0"/>
      </w:pPr>
      <w:r>
        <w:t xml:space="preserve">Come possiamo osservare nel secondo grafico il periodo in cui si è svolta più Alternanza Scuola Lavoro è stato il periodo che va da </w:t>
      </w:r>
      <w:r w:rsidR="00A21624">
        <w:t>febbraio a maggio (29,03</w:t>
      </w:r>
      <w:r>
        <w:t xml:space="preserve">%) </w:t>
      </w:r>
      <w:r w:rsidR="00A21624">
        <w:t xml:space="preserve">da dicembre a luglio è stata vista un’affluenza di asl pari al 9,68%. Abbiamo poi dei dati che apparentemente hanno la stessa percentuale di 6,45 e sono: </w:t>
      </w:r>
    </w:p>
    <w:p w14:paraId="7CF7793C" w14:textId="77777777" w:rsidR="00A21624" w:rsidRDefault="00A21624" w:rsidP="00A21624">
      <w:pPr>
        <w:spacing w:after="0"/>
      </w:pPr>
      <w:r>
        <w:t xml:space="preserve">da dicembre ad aprile; da dicembre a maggio; da febbraio a giugno; </w:t>
      </w:r>
      <w:r w:rsidR="00043F76">
        <w:t>da gennaio a luglio e da gennaio a marzo. Per quanto riguarda il restante dei dati possiamo dire che nei seguenti mesi:</w:t>
      </w:r>
    </w:p>
    <w:p w14:paraId="3CF2DE65" w14:textId="77777777" w:rsidR="00043F76" w:rsidRDefault="00043F76" w:rsidP="00A21624">
      <w:pPr>
        <w:spacing w:after="0"/>
      </w:pPr>
      <w:r>
        <w:lastRenderedPageBreak/>
        <w:t>Da aprile a maggio; da dicembre a febbraio; da dicembre a giugno; da febbraio a luglio; da gennaio a febbraio; da gennaio a giugno; da gennaio a maggio; da maggio a giugno e da marzo a maggio. Abbiamo evidenziato una minore frequentazione dei corsi di ASL.</w:t>
      </w:r>
    </w:p>
    <w:p w14:paraId="4C4A9C3C" w14:textId="62B9B9F2" w:rsidR="00DE0E18" w:rsidRDefault="00DB20A0" w:rsidP="00A21624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1F60FE" wp14:editId="70D8AF36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4572000" cy="2743200"/>
            <wp:effectExtent l="0" t="0" r="19050" b="19050"/>
            <wp:wrapTopAndBottom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728B05A4-B016-4AFD-805A-2906C2EE4C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897F1" w14:textId="77777777" w:rsidR="00DE0E18" w:rsidRDefault="00DE0E18" w:rsidP="00A21624">
      <w:pPr>
        <w:spacing w:after="0"/>
      </w:pPr>
    </w:p>
    <w:p w14:paraId="12C9D2D8" w14:textId="778BF684" w:rsidR="00DE0E18" w:rsidRDefault="002C33C8" w:rsidP="00A21624">
      <w:pPr>
        <w:spacing w:after="0"/>
      </w:pPr>
      <w:r>
        <w:t>Questo grafico rappresent</w:t>
      </w:r>
      <w:r w:rsidR="002572A2">
        <w:t>a ciò che abbiamo analizzato n</w:t>
      </w:r>
      <w:r w:rsidR="00DB708A">
        <w:t xml:space="preserve">el </w:t>
      </w:r>
      <w:r>
        <w:t>grafico precedente, ovvero nel grafico analizzato qui sopra abbiamo visto i mesi che più erano stati svolti i vari periodi di alternanza scuola lavoro. In questo grafico invece abbiamo analizzato i mesi. L’arco di tempo maggiormente analizzato è di 4 mesi e r</w:t>
      </w:r>
      <w:r w:rsidR="000064E2">
        <w:t xml:space="preserve">appresenta il 29,03%. Il secondo </w:t>
      </w:r>
      <w:r w:rsidR="00241595">
        <w:t xml:space="preserve">punto analizzato è il </w:t>
      </w:r>
      <w:r w:rsidR="000064E2">
        <w:t xml:space="preserve"> 16,13</w:t>
      </w:r>
      <w:r w:rsidR="00241595">
        <w:t>%  che rappresenta la durata dell’ASL di 5 mesi, poi successivamente abbiamo analizzato che 3 mesi e 6 mesi hanno la stessa percentuale che è di 12,90 ed infine 2 mesi 8 mesi e 7 mesi che rappresentano la durata minima di alternanza scuola lavoro pari ad una percentuale di 9,68%.</w:t>
      </w:r>
    </w:p>
    <w:p w14:paraId="63AA5739" w14:textId="77777777" w:rsidR="002C33C8" w:rsidRDefault="002C33C8" w:rsidP="00A21624">
      <w:pPr>
        <w:spacing w:after="0"/>
      </w:pPr>
      <w:bookmarkStart w:id="0" w:name="_GoBack"/>
      <w:bookmarkEnd w:id="0"/>
    </w:p>
    <w:p w14:paraId="18E10CBC" w14:textId="12DF9A31" w:rsidR="00043F76" w:rsidRDefault="00C81F01" w:rsidP="00A21624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2B0A2B" wp14:editId="41BFF69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572000" cy="2743200"/>
            <wp:effectExtent l="0" t="0" r="19050" b="19050"/>
            <wp:wrapTopAndBottom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B02A48CB-C70C-41E0-8C46-BFB4344964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258C6" w14:textId="77777777" w:rsidR="00A82F40" w:rsidRDefault="00A82F40" w:rsidP="00A21624">
      <w:pPr>
        <w:spacing w:after="0"/>
      </w:pPr>
    </w:p>
    <w:p w14:paraId="31045A8E" w14:textId="77777777" w:rsidR="00A82F40" w:rsidRDefault="00A82F40" w:rsidP="00A21624">
      <w:pPr>
        <w:spacing w:after="0"/>
      </w:pPr>
      <w:r>
        <w:t xml:space="preserve">In questo grafico presentiamo le ore che i ragazzi hanno svolto secondo i corsi di alternanza scuola lavoro che sono stati assegnati ad ogni corso. </w:t>
      </w:r>
    </w:p>
    <w:p w14:paraId="0F12BD06" w14:textId="77777777" w:rsidR="00A82F40" w:rsidRDefault="00A82F40" w:rsidP="00A21624">
      <w:pPr>
        <w:spacing w:after="0"/>
      </w:pPr>
      <w:r>
        <w:lastRenderedPageBreak/>
        <w:t>Il grafico mostra che le ore più svolte nei corsi è stato di 20 ore in percentuale il livello è stato pari a 29,03. Poi success</w:t>
      </w:r>
      <w:r w:rsidR="00720E7B">
        <w:t xml:space="preserve">ivamente notiamo che il 16,13% </w:t>
      </w:r>
      <w:r>
        <w:t>è rappresentata dalle 25 e alle 40 ore di Alternanza s</w:t>
      </w:r>
      <w:r w:rsidR="00720E7B">
        <w:t xml:space="preserve">cuola lavoro svolte dai ragazzi. </w:t>
      </w:r>
    </w:p>
    <w:p w14:paraId="5CEA54F0" w14:textId="77777777" w:rsidR="00720E7B" w:rsidRDefault="00720E7B" w:rsidP="00A21624">
      <w:pPr>
        <w:spacing w:after="0"/>
      </w:pPr>
      <w:r>
        <w:t>Come potete notare sempre nel</w:t>
      </w:r>
      <w:r w:rsidR="00DE0E18">
        <w:t xml:space="preserve"> grafico il 6,45% è assegnato a</w:t>
      </w:r>
      <w:r>
        <w:t xml:space="preserve"> 60 ore, 70 ore e 100 ore di lavoro</w:t>
      </w:r>
      <w:r w:rsidR="00DE0E18">
        <w:t>. Per il restante 3,23% è rappresentato dalle 15 ore, 16 ore, 24 ore, 30 ore, 35 ore e 50 ore di lav</w:t>
      </w:r>
      <w:r w:rsidR="00241595">
        <w:t>oro di Alternanza scuola lavoro.</w:t>
      </w:r>
    </w:p>
    <w:p w14:paraId="24C95926" w14:textId="77777777" w:rsidR="00241595" w:rsidRDefault="00241595" w:rsidP="00A21624">
      <w:pPr>
        <w:spacing w:after="0"/>
      </w:pPr>
    </w:p>
    <w:p w14:paraId="7DBDA1EB" w14:textId="7474074F" w:rsidR="002C1919" w:rsidRDefault="000325F9" w:rsidP="00A21624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49565D" wp14:editId="72830094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120130" cy="5050155"/>
            <wp:effectExtent l="0" t="0" r="13970" b="17145"/>
            <wp:wrapTopAndBottom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A33C3A52-94B2-4D15-A377-2DC5C50320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DD81A" w14:textId="77777777" w:rsidR="00241595" w:rsidRDefault="00241595" w:rsidP="00A21624">
      <w:pPr>
        <w:spacing w:after="0"/>
      </w:pPr>
    </w:p>
    <w:p w14:paraId="20083A5C" w14:textId="77777777" w:rsidR="00BF0694" w:rsidRDefault="00043F76" w:rsidP="00A21624">
      <w:pPr>
        <w:spacing w:after="0"/>
      </w:pPr>
      <w:r>
        <w:t xml:space="preserve"> </w:t>
      </w:r>
      <w:r w:rsidR="0034372C">
        <w:t>In questo grafico vengono analizzate le competenze che richiedono nei diversi progetti di alternanza scuola lavoro. nella maggior parte dei progetti viene richiesta una capacità di relazione, una capacità nella comunicazione e un’a</w:t>
      </w:r>
      <w:r w:rsidR="00BF0694">
        <w:t>ttitudine al lavoro di gruppo (</w:t>
      </w:r>
      <w:r w:rsidR="0034372C">
        <w:t>l’11</w:t>
      </w:r>
      <w:r w:rsidR="000C435F">
        <w:t>,28%).</w:t>
      </w:r>
    </w:p>
    <w:p w14:paraId="76B397E3" w14:textId="77777777" w:rsidR="00043F76" w:rsidRDefault="00BF0694" w:rsidP="00A21624">
      <w:pPr>
        <w:spacing w:after="0"/>
      </w:pPr>
      <w:r>
        <w:t>L’8,56% dei progetti richiedono la competenza di</w:t>
      </w:r>
      <w:r w:rsidRPr="00BF0694">
        <w:t xml:space="preserve"> </w:t>
      </w:r>
      <w:r>
        <w:t>adattamento a diversi ambienti.</w:t>
      </w:r>
      <w:r w:rsidR="000C435F">
        <w:t xml:space="preserve"> </w:t>
      </w:r>
    </w:p>
    <w:p w14:paraId="62D6CFB5" w14:textId="77777777" w:rsidR="0034372C" w:rsidRDefault="0034372C" w:rsidP="00A21624">
      <w:pPr>
        <w:spacing w:after="0"/>
      </w:pPr>
      <w:r>
        <w:t>Il 10,12% dei progetti richiedono una capacità d</w:t>
      </w:r>
      <w:r w:rsidR="000C435F">
        <w:t>i organizzare il proprio lavoro. Il 7, 78% richiedono una capacità di gestire il tempo e il 7,39% richiede spirito di iniziativa e la capacità di adattamento a diversi ambienti. il 5,84% richiede una capacità di problem solving, mentre Il 3,89% dei progetti richiede la capacità di diagnosi e la capacità di gestire lo stress, in una percentuale poco più bassa ovvero il 3,50% dei progetti r</w:t>
      </w:r>
      <w:r w:rsidR="00BF0694">
        <w:t xml:space="preserve">ichiedono capacità decisionali, il restante delle competenze vengono richieste in una percentuale molto più bassa, pari allo 0,39%. </w:t>
      </w:r>
    </w:p>
    <w:p w14:paraId="65EB307D" w14:textId="77777777" w:rsidR="00BF0694" w:rsidRDefault="00BF0694" w:rsidP="00A21624">
      <w:pPr>
        <w:spacing w:after="0"/>
      </w:pPr>
    </w:p>
    <w:p w14:paraId="0AB00E2B" w14:textId="78D366D2" w:rsidR="00BF0694" w:rsidRDefault="00653DC2" w:rsidP="00A21624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11C90E8" wp14:editId="06B374D6">
            <wp:simplePos x="0" y="0"/>
            <wp:positionH relativeFrom="column">
              <wp:posOffset>-3810</wp:posOffset>
            </wp:positionH>
            <wp:positionV relativeFrom="paragraph">
              <wp:posOffset>-244475</wp:posOffset>
            </wp:positionV>
            <wp:extent cx="5814060" cy="4320540"/>
            <wp:effectExtent l="0" t="0" r="15240" b="22860"/>
            <wp:wrapTopAndBottom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B0987B48-5E60-46A7-A83F-94E22E2ADA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C4A89" w14:textId="77777777" w:rsidR="00BF0694" w:rsidRDefault="00BF0694" w:rsidP="00A21624">
      <w:pPr>
        <w:spacing w:after="0"/>
      </w:pPr>
      <w:r>
        <w:t xml:space="preserve">In questo ultimo grafico viene analizzato il tipo di istituto di provenienza che devono avere i ragazzi per poter partecipare ad un corso specifico </w:t>
      </w:r>
      <w:r w:rsidR="00233129">
        <w:t xml:space="preserve">di ASL. </w:t>
      </w:r>
    </w:p>
    <w:p w14:paraId="1B64251E" w14:textId="77777777" w:rsidR="00233129" w:rsidRDefault="00233129" w:rsidP="00A21624">
      <w:pPr>
        <w:spacing w:after="0"/>
      </w:pPr>
      <w:r>
        <w:t xml:space="preserve">Il 21,11% dei corsi richiedono la provenienza da un liceo scientifico, 18,86% richiedono la provenienza da un liceo classico il 12,22% richiedono la provenienza da un liceo linguistico e con la medesima percentuale non richiedono la preferenza di nessun tipo di istituto. </w:t>
      </w:r>
      <w:r w:rsidR="00FF727C">
        <w:t xml:space="preserve">L’11,11% richiede la partecipazione dei ragazzi che frequentano il liceo artistico e il liceo delle scienze umane, mentre il 4,44% richiedono la provenienza da un liceo musicale. </w:t>
      </w:r>
    </w:p>
    <w:p w14:paraId="6BF09DFA" w14:textId="77777777" w:rsidR="0034372C" w:rsidRDefault="00FF727C" w:rsidP="00A21624">
      <w:pPr>
        <w:spacing w:after="0"/>
      </w:pPr>
      <w:r>
        <w:t xml:space="preserve">In minor percentuale si richiede la provenienza da IP socio-sanitari, IP industriali, IP tecnici, IT grafici, IP servizi per l’agricoltura, IT agraria, IT informatico/ telecomunicazioni. </w:t>
      </w:r>
    </w:p>
    <w:p w14:paraId="08E974DD" w14:textId="77777777" w:rsidR="00043F76" w:rsidRDefault="00043F76" w:rsidP="00A21624">
      <w:pPr>
        <w:spacing w:after="0"/>
      </w:pPr>
    </w:p>
    <w:p w14:paraId="7F34EB44" w14:textId="77777777" w:rsidR="00A21624" w:rsidRDefault="00A21624"/>
    <w:p w14:paraId="2C329D9E" w14:textId="77777777" w:rsidR="00A21624" w:rsidRDefault="00A21624" w:rsidP="00A21624">
      <w:pPr>
        <w:spacing w:after="0"/>
      </w:pPr>
    </w:p>
    <w:p w14:paraId="2CD59170" w14:textId="77777777" w:rsidR="00A21624" w:rsidRDefault="00A21624" w:rsidP="00A21624">
      <w:pPr>
        <w:spacing w:after="0" w:line="240" w:lineRule="auto"/>
      </w:pPr>
    </w:p>
    <w:p w14:paraId="183943C4" w14:textId="77777777" w:rsidR="00A21624" w:rsidRDefault="00A21624" w:rsidP="00A21624">
      <w:pPr>
        <w:spacing w:line="240" w:lineRule="auto"/>
      </w:pPr>
    </w:p>
    <w:sectPr w:rsidR="00A21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5B4A" w14:textId="77777777" w:rsidR="008F477C" w:rsidRDefault="008F477C" w:rsidP="000F6751">
      <w:pPr>
        <w:spacing w:after="0" w:line="240" w:lineRule="auto"/>
      </w:pPr>
      <w:r>
        <w:separator/>
      </w:r>
    </w:p>
  </w:endnote>
  <w:endnote w:type="continuationSeparator" w:id="0">
    <w:p w14:paraId="127DFE2D" w14:textId="77777777" w:rsidR="008F477C" w:rsidRDefault="008F477C" w:rsidP="000F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844C" w14:textId="77777777" w:rsidR="008F477C" w:rsidRDefault="008F477C" w:rsidP="000F6751">
      <w:pPr>
        <w:spacing w:after="0" w:line="240" w:lineRule="auto"/>
      </w:pPr>
      <w:r>
        <w:separator/>
      </w:r>
    </w:p>
  </w:footnote>
  <w:footnote w:type="continuationSeparator" w:id="0">
    <w:p w14:paraId="11504E7F" w14:textId="77777777" w:rsidR="008F477C" w:rsidRDefault="008F477C" w:rsidP="000F6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5F"/>
    <w:rsid w:val="000064E2"/>
    <w:rsid w:val="000325F9"/>
    <w:rsid w:val="00043F76"/>
    <w:rsid w:val="000C435F"/>
    <w:rsid w:val="000F6751"/>
    <w:rsid w:val="001460EF"/>
    <w:rsid w:val="001925BB"/>
    <w:rsid w:val="001A3FD8"/>
    <w:rsid w:val="001C0682"/>
    <w:rsid w:val="00233129"/>
    <w:rsid w:val="0023468A"/>
    <w:rsid w:val="00241595"/>
    <w:rsid w:val="002572A2"/>
    <w:rsid w:val="0029448B"/>
    <w:rsid w:val="002C1919"/>
    <w:rsid w:val="002C33C8"/>
    <w:rsid w:val="0034372C"/>
    <w:rsid w:val="00395154"/>
    <w:rsid w:val="003D4325"/>
    <w:rsid w:val="00433011"/>
    <w:rsid w:val="004A1B34"/>
    <w:rsid w:val="004D2D4C"/>
    <w:rsid w:val="00653DC2"/>
    <w:rsid w:val="00720E7B"/>
    <w:rsid w:val="00733746"/>
    <w:rsid w:val="0074655F"/>
    <w:rsid w:val="00761552"/>
    <w:rsid w:val="007617A2"/>
    <w:rsid w:val="007A2BA1"/>
    <w:rsid w:val="007D41D0"/>
    <w:rsid w:val="00842FC5"/>
    <w:rsid w:val="008F477C"/>
    <w:rsid w:val="00A21624"/>
    <w:rsid w:val="00A82F40"/>
    <w:rsid w:val="00B30712"/>
    <w:rsid w:val="00B72932"/>
    <w:rsid w:val="00BF0694"/>
    <w:rsid w:val="00C81F01"/>
    <w:rsid w:val="00D45DCA"/>
    <w:rsid w:val="00DB20A0"/>
    <w:rsid w:val="00DB708A"/>
    <w:rsid w:val="00DE0E18"/>
    <w:rsid w:val="00EF09C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B80A"/>
  <w15:chartTrackingRefBased/>
  <w15:docId w15:val="{444C0FDC-4A93-4958-A7B6-72B401C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6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51"/>
  </w:style>
  <w:style w:type="paragraph" w:styleId="Pidipagina">
    <w:name w:val="footer"/>
    <w:basedOn w:val="Normale"/>
    <w:link w:val="PidipaginaCarattere"/>
    <w:uiPriority w:val="99"/>
    <w:unhideWhenUsed/>
    <w:rsid w:val="000F6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Ente proponente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Colonna1</c:v>
          </c:tx>
          <c:dPt>
            <c:idx val="0"/>
            <c:bubble3D val="0"/>
            <c:spPr>
              <a:gradFill rotWithShape="1">
                <a:gsLst>
                  <a:gs pos="0">
                    <a:schemeClr val="dk1">
                      <a:tint val="88500"/>
                      <a:tint val="50000"/>
                      <a:satMod val="300000"/>
                    </a:schemeClr>
                  </a:gs>
                  <a:gs pos="35000">
                    <a:schemeClr val="dk1">
                      <a:tint val="88500"/>
                      <a:tint val="37000"/>
                      <a:satMod val="300000"/>
                    </a:schemeClr>
                  </a:gs>
                  <a:gs pos="100000">
                    <a:schemeClr val="dk1">
                      <a:tint val="885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dk1">
                      <a:tint val="55000"/>
                      <a:tint val="50000"/>
                      <a:satMod val="300000"/>
                    </a:schemeClr>
                  </a:gs>
                  <a:gs pos="35000">
                    <a:schemeClr val="dk1">
                      <a:tint val="55000"/>
                      <a:tint val="37000"/>
                      <a:satMod val="300000"/>
                    </a:schemeClr>
                  </a:gs>
                  <a:gs pos="100000">
                    <a:schemeClr val="dk1">
                      <a:tint val="55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dk1">
                      <a:tint val="75000"/>
                      <a:tint val="50000"/>
                      <a:satMod val="300000"/>
                    </a:schemeClr>
                  </a:gs>
                  <a:gs pos="35000">
                    <a:schemeClr val="dk1">
                      <a:tint val="75000"/>
                      <a:tint val="37000"/>
                      <a:satMod val="300000"/>
                    </a:schemeClr>
                  </a:gs>
                  <a:gs pos="100000">
                    <a:schemeClr val="dk1">
                      <a:tint val="75000"/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3"/>
              <c:pt idx="0">
                <c:v>Biblioteca</c:v>
              </c:pt>
              <c:pt idx="1">
                <c:v>Musei</c:v>
              </c:pt>
              <c:pt idx="2">
                <c:v>Radio</c:v>
              </c:pt>
            </c:strLit>
          </c:cat>
          <c:val>
            <c:numLit>
              <c:formatCode>0%</c:formatCode>
              <c:ptCount val="3"/>
              <c:pt idx="0">
                <c:v>0.61</c:v>
              </c:pt>
              <c:pt idx="1">
                <c:v>0.36</c:v>
              </c:pt>
              <c:pt idx="2">
                <c:v>0.03</c:v>
              </c:pt>
            </c:numLit>
          </c:val>
          <c:extLst>
            <c:ext xmlns:c16="http://schemas.microsoft.com/office/drawing/2014/chart" uri="{C3380CC4-5D6E-409C-BE32-E72D297353CC}">
              <c16:uniqueId val="{00000000-C6A8-433B-ADE7-3A9BA65C56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6"/>
              <c:pt idx="0">
                <c:v>Da Aprile a Maggio</c:v>
              </c:pt>
              <c:pt idx="1">
                <c:v>Da Dicembre a Aprile </c:v>
              </c:pt>
              <c:pt idx="2">
                <c:v>Da Dicembre a Febbraio </c:v>
              </c:pt>
              <c:pt idx="3">
                <c:v>Da Dicembre a Giugno</c:v>
              </c:pt>
              <c:pt idx="4">
                <c:v>Da Dicembre a Luglio </c:v>
              </c:pt>
              <c:pt idx="5">
                <c:v>Da Dicembre a Maggio </c:v>
              </c:pt>
              <c:pt idx="6">
                <c:v>Da Febbraio a Giugno </c:v>
              </c:pt>
              <c:pt idx="7">
                <c:v>Da Febbraio a Luglio </c:v>
              </c:pt>
              <c:pt idx="8">
                <c:v>Da Febbraio a Maggio</c:v>
              </c:pt>
              <c:pt idx="9">
                <c:v>Da Gennaio a Febbraio </c:v>
              </c:pt>
              <c:pt idx="10">
                <c:v>Da Gennaio a Giugno </c:v>
              </c:pt>
              <c:pt idx="11">
                <c:v>Da Gennaio a Luglio </c:v>
              </c:pt>
              <c:pt idx="12">
                <c:v>Da Gennaio a Maggio</c:v>
              </c:pt>
              <c:pt idx="13">
                <c:v>Da Gennaio a Marzo</c:v>
              </c:pt>
              <c:pt idx="14">
                <c:v>Da Maggio a Giugno </c:v>
              </c:pt>
              <c:pt idx="15">
                <c:v>Da Marzo a Giugno </c:v>
              </c:pt>
            </c:strLit>
          </c:cat>
          <c:val>
            <c:numLit>
              <c:formatCode>0.00%</c:formatCode>
              <c:ptCount val="16"/>
              <c:pt idx="0">
                <c:v>3.2300000000000002E-2</c:v>
              </c:pt>
              <c:pt idx="1">
                <c:v>6.4500000000000002E-2</c:v>
              </c:pt>
              <c:pt idx="2">
                <c:v>3.2300000000000002E-2</c:v>
              </c:pt>
              <c:pt idx="3">
                <c:v>3.2300000000000002E-2</c:v>
              </c:pt>
              <c:pt idx="4">
                <c:v>9.6799999999999997E-2</c:v>
              </c:pt>
              <c:pt idx="5">
                <c:v>6.4500000000000002E-2</c:v>
              </c:pt>
              <c:pt idx="6">
                <c:v>6.4500000000000002E-2</c:v>
              </c:pt>
              <c:pt idx="7">
                <c:v>3.2300000000000002E-2</c:v>
              </c:pt>
              <c:pt idx="8">
                <c:v>0.2903</c:v>
              </c:pt>
              <c:pt idx="9">
                <c:v>3.2300000000000002E-2</c:v>
              </c:pt>
              <c:pt idx="10">
                <c:v>3.2300000000000002E-2</c:v>
              </c:pt>
              <c:pt idx="11">
                <c:v>6.4500000000000002E-2</c:v>
              </c:pt>
              <c:pt idx="12">
                <c:v>3.2300000000000002E-2</c:v>
              </c:pt>
              <c:pt idx="13">
                <c:v>6.4500000000000002E-2</c:v>
              </c:pt>
              <c:pt idx="14">
                <c:v>3.2300000000000002E-2</c:v>
              </c:pt>
              <c:pt idx="15">
                <c:v>3.2300000000000002E-2</c:v>
              </c:pt>
            </c:numLit>
          </c:val>
          <c:extLst>
            <c:ext xmlns:c16="http://schemas.microsoft.com/office/drawing/2014/chart" uri="{C3380CC4-5D6E-409C-BE32-E72D297353CC}">
              <c16:uniqueId val="{00000000-BB0D-4A04-B533-9E5DA214C1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Durata dell'ASL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7"/>
              <c:pt idx="0">
                <c:v>2 mesi</c:v>
              </c:pt>
              <c:pt idx="1">
                <c:v>3 mesi</c:v>
              </c:pt>
              <c:pt idx="2">
                <c:v>4 mesi</c:v>
              </c:pt>
              <c:pt idx="3">
                <c:v>5 mesi </c:v>
              </c:pt>
              <c:pt idx="4">
                <c:v>6 mesi</c:v>
              </c:pt>
              <c:pt idx="5">
                <c:v>7 mesi</c:v>
              </c:pt>
              <c:pt idx="6">
                <c:v>8 mesi</c:v>
              </c:pt>
            </c:strLit>
          </c:cat>
          <c:val>
            <c:numLit>
              <c:formatCode>0.00%</c:formatCode>
              <c:ptCount val="7"/>
              <c:pt idx="0">
                <c:v>9.6799999999999997E-2</c:v>
              </c:pt>
              <c:pt idx="1">
                <c:v>0.129</c:v>
              </c:pt>
              <c:pt idx="2">
                <c:v>0.2903</c:v>
              </c:pt>
              <c:pt idx="3">
                <c:v>0.1613</c:v>
              </c:pt>
              <c:pt idx="4">
                <c:v>0.129</c:v>
              </c:pt>
              <c:pt idx="5">
                <c:v>9.6799999999999997E-2</c:v>
              </c:pt>
              <c:pt idx="6">
                <c:v>9.6799999999999997E-2</c:v>
              </c:pt>
            </c:numLit>
          </c:val>
          <c:extLst>
            <c:ext xmlns:c16="http://schemas.microsoft.com/office/drawing/2014/chart" uri="{C3380CC4-5D6E-409C-BE32-E72D297353CC}">
              <c16:uniqueId val="{00000000-7A60-44B7-91C1-54634BCF795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Ore dell'ASL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2"/>
              <c:pt idx="0">
                <c:v>100 ore</c:v>
              </c:pt>
              <c:pt idx="1">
                <c:v>15 ore</c:v>
              </c:pt>
              <c:pt idx="2">
                <c:v>16 ore</c:v>
              </c:pt>
              <c:pt idx="3">
                <c:v>20 ore </c:v>
              </c:pt>
              <c:pt idx="4">
                <c:v>24 ore</c:v>
              </c:pt>
              <c:pt idx="5">
                <c:v>25 ore</c:v>
              </c:pt>
              <c:pt idx="6">
                <c:v>30 ore</c:v>
              </c:pt>
              <c:pt idx="7">
                <c:v>35 ore</c:v>
              </c:pt>
              <c:pt idx="8">
                <c:v>40 ore</c:v>
              </c:pt>
              <c:pt idx="9">
                <c:v>50 ore</c:v>
              </c:pt>
              <c:pt idx="10">
                <c:v>60 ore</c:v>
              </c:pt>
              <c:pt idx="11">
                <c:v>70 ore</c:v>
              </c:pt>
            </c:strLit>
          </c:cat>
          <c:val>
            <c:numLit>
              <c:formatCode>0.00%</c:formatCode>
              <c:ptCount val="12"/>
              <c:pt idx="0">
                <c:v>6.4500000000000002E-2</c:v>
              </c:pt>
              <c:pt idx="1">
                <c:v>3.2300000000000002E-2</c:v>
              </c:pt>
              <c:pt idx="2">
                <c:v>3.2300000000000002E-2</c:v>
              </c:pt>
              <c:pt idx="3">
                <c:v>0.2903</c:v>
              </c:pt>
              <c:pt idx="4">
                <c:v>3.2300000000000002E-2</c:v>
              </c:pt>
              <c:pt idx="5">
                <c:v>0.1613</c:v>
              </c:pt>
              <c:pt idx="6">
                <c:v>3.2300000000000002E-2</c:v>
              </c:pt>
              <c:pt idx="7">
                <c:v>3.2300000000000002E-2</c:v>
              </c:pt>
              <c:pt idx="8">
                <c:v>0.1613</c:v>
              </c:pt>
              <c:pt idx="9">
                <c:v>3.2300000000000002E-2</c:v>
              </c:pt>
              <c:pt idx="10">
                <c:v>6.4500000000000002E-2</c:v>
              </c:pt>
              <c:pt idx="11">
                <c:v>6.4500000000000002E-2</c:v>
              </c:pt>
            </c:numLit>
          </c:val>
          <c:extLst>
            <c:ext xmlns:c16="http://schemas.microsoft.com/office/drawing/2014/chart" uri="{C3380CC4-5D6E-409C-BE32-E72D297353CC}">
              <c16:uniqueId val="{00000000-9E1E-4871-8790-AA4A9E8673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8"/>
              <c:pt idx="0">
                <c:v> Uso del programma Excel della Suite Microsoft Office</c:v>
              </c:pt>
              <c:pt idx="1">
                <c:v> Soggettazione tematica delle collezioni librarie e documentali; conoscenza del programma Excel della Suite Microsoft Office</c:v>
              </c:pt>
              <c:pt idx="2">
                <c:v>Attitudini al lavoro di gruppo</c:v>
              </c:pt>
              <c:pt idx="3">
                <c:v>Capacità decisionali</c:v>
              </c:pt>
              <c:pt idx="4">
                <c:v>Capacità di adattamento a diversi ambienti </c:v>
              </c:pt>
              <c:pt idx="5">
                <c:v>Capacità di comunicazione</c:v>
              </c:pt>
              <c:pt idx="6">
                <c:v>Capacità di diagnosi</c:v>
              </c:pt>
              <c:pt idx="7">
                <c:v>Capacità di gestione del tempo</c:v>
              </c:pt>
              <c:pt idx="8">
                <c:v>Capacità di gestire lo stress</c:v>
              </c:pt>
              <c:pt idx="9">
                <c:v>Capacità di organizzare il proprio lavoro</c:v>
              </c:pt>
              <c:pt idx="10">
                <c:v>Capacità di problem solving</c:v>
              </c:pt>
              <c:pt idx="11">
                <c:v>Capacità di relazioni</c:v>
              </c:pt>
              <c:pt idx="12">
                <c:v>Capacità nella visione di insieme</c:v>
              </c:pt>
              <c:pt idx="13">
                <c:v>Capacità nelle flessibilità</c:v>
              </c:pt>
              <c:pt idx="14">
                <c:v>Cartoteca capacita di lettura e interpretazione della documentazione topografica</c:v>
              </c:pt>
              <c:pt idx="15">
                <c:v>Conoscenza analitica delle pubblicazioni e dei risultati di ricerche scientifiche sul patrimonio architettonico storico/paesaggisitco di Roma</c:v>
              </c:pt>
              <c:pt idx="16">
                <c:v>Spirito di iniziativa</c:v>
              </c:pt>
              <c:pt idx="17">
                <c:v>Uso di del programma Adobe Photoshop</c:v>
              </c:pt>
            </c:strLit>
          </c:cat>
          <c:val>
            <c:numLit>
              <c:formatCode>0.00%</c:formatCode>
              <c:ptCount val="18"/>
              <c:pt idx="0">
                <c:v>3.8999999999999998E-3</c:v>
              </c:pt>
              <c:pt idx="1">
                <c:v>3.8999999999999998E-3</c:v>
              </c:pt>
              <c:pt idx="2">
                <c:v>0.1128</c:v>
              </c:pt>
              <c:pt idx="3">
                <c:v>3.5000000000000003E-2</c:v>
              </c:pt>
              <c:pt idx="4">
                <c:v>8.5599999999999996E-2</c:v>
              </c:pt>
              <c:pt idx="5">
                <c:v>0.1128</c:v>
              </c:pt>
              <c:pt idx="6">
                <c:v>3.8899999999999997E-2</c:v>
              </c:pt>
              <c:pt idx="7">
                <c:v>7.7799999999999994E-2</c:v>
              </c:pt>
              <c:pt idx="8">
                <c:v>3.8899999999999997E-2</c:v>
              </c:pt>
              <c:pt idx="9">
                <c:v>0.1012</c:v>
              </c:pt>
              <c:pt idx="10">
                <c:v>5.8900000000000001E-2</c:v>
              </c:pt>
              <c:pt idx="11">
                <c:v>0.1128</c:v>
              </c:pt>
              <c:pt idx="12">
                <c:v>7.3899999999999993E-2</c:v>
              </c:pt>
              <c:pt idx="13">
                <c:v>5.8400000000000001E-2</c:v>
              </c:pt>
              <c:pt idx="14">
                <c:v>3.8999999999999998E-3</c:v>
              </c:pt>
              <c:pt idx="15">
                <c:v>3.8999999999999998E-3</c:v>
              </c:pt>
              <c:pt idx="16">
                <c:v>7.3899999999999993E-2</c:v>
              </c:pt>
              <c:pt idx="17">
                <c:v>3.8999999999999998E-3</c:v>
              </c:pt>
            </c:numLit>
          </c:val>
          <c:extLst>
            <c:ext xmlns:c16="http://schemas.microsoft.com/office/drawing/2014/chart" uri="{C3380CC4-5D6E-409C-BE32-E72D297353CC}">
              <c16:uniqueId val="{00000000-AAEC-46FB-9F5F-0A6747F1012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Istituto di provenienza degli studenti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5"/>
              <c:pt idx="0">
                <c:v> IP Socio-sanitari</c:v>
              </c:pt>
              <c:pt idx="1">
                <c:v> IT Informatico/Telecomunicazioni</c:v>
              </c:pt>
              <c:pt idx="2">
                <c:v> Liceo delle Scienze Umane</c:v>
              </c:pt>
              <c:pt idx="3">
                <c:v>IP Industriali</c:v>
              </c:pt>
              <c:pt idx="4">
                <c:v>IP Servizi per l'agricoltura</c:v>
              </c:pt>
              <c:pt idx="5">
                <c:v>IP Tecnici</c:v>
              </c:pt>
              <c:pt idx="6">
                <c:v>IT Agraria</c:v>
              </c:pt>
              <c:pt idx="7">
                <c:v>IT Grafico</c:v>
              </c:pt>
              <c:pt idx="8">
                <c:v>IT Informatico/Telecomunicazioni</c:v>
              </c:pt>
              <c:pt idx="9">
                <c:v>Liceo Artistico</c:v>
              </c:pt>
              <c:pt idx="10">
                <c:v>Liceo Classico</c:v>
              </c:pt>
              <c:pt idx="11">
                <c:v>Liceo Linguistico</c:v>
              </c:pt>
              <c:pt idx="12">
                <c:v>Liceo Musicale</c:v>
              </c:pt>
              <c:pt idx="13">
                <c:v>Liceo Scientifico</c:v>
              </c:pt>
              <c:pt idx="14">
                <c:v>Nessuna Preferenza </c:v>
              </c:pt>
            </c:strLit>
          </c:cat>
          <c:val>
            <c:numLit>
              <c:formatCode>0.00%</c:formatCode>
              <c:ptCount val="15"/>
              <c:pt idx="0">
                <c:v>1.11E-2</c:v>
              </c:pt>
              <c:pt idx="1">
                <c:v>1.11E-2</c:v>
              </c:pt>
              <c:pt idx="2">
                <c:v>0.1111</c:v>
              </c:pt>
              <c:pt idx="3">
                <c:v>1.11E-2</c:v>
              </c:pt>
              <c:pt idx="4">
                <c:v>1.11E-2</c:v>
              </c:pt>
              <c:pt idx="5">
                <c:v>1.11E-2</c:v>
              </c:pt>
              <c:pt idx="6">
                <c:v>1.11E-2</c:v>
              </c:pt>
              <c:pt idx="7">
                <c:v>1.11E-2</c:v>
              </c:pt>
              <c:pt idx="8">
                <c:v>1.11E-2</c:v>
              </c:pt>
              <c:pt idx="9">
                <c:v>0.1111</c:v>
              </c:pt>
              <c:pt idx="10">
                <c:v>0.18890000000000001</c:v>
              </c:pt>
              <c:pt idx="11">
                <c:v>0.1222</c:v>
              </c:pt>
              <c:pt idx="12">
                <c:v>4.4400000000000002E-2</c:v>
              </c:pt>
              <c:pt idx="13">
                <c:v>0.21110000000000001</c:v>
              </c:pt>
              <c:pt idx="14">
                <c:v>0.1222</c:v>
              </c:pt>
            </c:numLit>
          </c:val>
          <c:extLst>
            <c:ext xmlns:c16="http://schemas.microsoft.com/office/drawing/2014/chart" uri="{C3380CC4-5D6E-409C-BE32-E72D297353CC}">
              <c16:uniqueId val="{00000000-AD26-4B06-956A-01093BA5D64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Lst>
    <c:ext xmlns:c16="http://schemas.microsoft.com/office/drawing/2014/chart" uri="{02939B4E-F6B6-470C-819A-426941589420}">
      <c16:literalDataChart val="1"/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Toparelli</dc:creator>
  <cp:keywords/>
  <dc:description/>
  <cp:lastModifiedBy>serena Toparelli</cp:lastModifiedBy>
  <cp:revision>2</cp:revision>
  <dcterms:created xsi:type="dcterms:W3CDTF">2017-05-27T14:05:00Z</dcterms:created>
  <dcterms:modified xsi:type="dcterms:W3CDTF">2017-05-27T14:05:00Z</dcterms:modified>
</cp:coreProperties>
</file>