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EE325" w14:textId="77777777" w:rsidR="00DA3DDB" w:rsidRPr="00055346" w:rsidRDefault="00DA3DDB" w:rsidP="005320BB">
      <w:pPr>
        <w:ind w:right="49"/>
        <w:jc w:val="both"/>
        <w:rPr>
          <w:rFonts w:ascii="Arial" w:hAnsi="Arial" w:cs="Arial"/>
          <w:b/>
          <w:sz w:val="24"/>
          <w:szCs w:val="28"/>
        </w:rPr>
      </w:pPr>
      <w:commentRangeStart w:id="0"/>
      <w:r w:rsidRPr="00055346">
        <w:rPr>
          <w:rFonts w:ascii="Arial" w:hAnsi="Arial" w:cs="Arial"/>
          <w:b/>
          <w:sz w:val="24"/>
          <w:szCs w:val="28"/>
        </w:rPr>
        <w:t xml:space="preserve">Introduzione alle osservazioni al Polo museale </w:t>
      </w:r>
      <w:commentRangeEnd w:id="0"/>
      <w:r w:rsidR="005320BB">
        <w:rPr>
          <w:rStyle w:val="Rimandocommento"/>
        </w:rPr>
        <w:commentReference w:id="0"/>
      </w:r>
      <w:r w:rsidRPr="00055346">
        <w:rPr>
          <w:rFonts w:ascii="Arial" w:hAnsi="Arial" w:cs="Arial"/>
          <w:b/>
          <w:sz w:val="24"/>
          <w:szCs w:val="28"/>
        </w:rPr>
        <w:t>(Anatomia comparata)</w:t>
      </w:r>
    </w:p>
    <w:p w14:paraId="5B1CE4E5" w14:textId="77777777" w:rsidR="00DA3DDB" w:rsidRPr="00055346" w:rsidRDefault="00DA3DDB" w:rsidP="005320BB">
      <w:pPr>
        <w:ind w:right="49"/>
        <w:jc w:val="both"/>
        <w:rPr>
          <w:rFonts w:ascii="Arial" w:hAnsi="Arial" w:cs="Arial"/>
          <w:sz w:val="24"/>
          <w:szCs w:val="28"/>
        </w:rPr>
      </w:pPr>
      <w:commentRangeStart w:id="1"/>
      <w:r w:rsidRPr="00055346">
        <w:rPr>
          <w:rFonts w:ascii="Arial" w:hAnsi="Arial" w:cs="Arial"/>
          <w:sz w:val="24"/>
          <w:szCs w:val="28"/>
        </w:rPr>
        <w:t xml:space="preserve">Il progetto </w:t>
      </w:r>
      <w:commentRangeEnd w:id="1"/>
      <w:r w:rsidR="005320BB">
        <w:rPr>
          <w:rStyle w:val="Rimandocommento"/>
        </w:rPr>
        <w:commentReference w:id="1"/>
      </w:r>
      <w:r w:rsidRPr="00055346">
        <w:rPr>
          <w:rFonts w:ascii="Arial" w:hAnsi="Arial" w:cs="Arial"/>
          <w:sz w:val="24"/>
          <w:szCs w:val="28"/>
        </w:rPr>
        <w:t>è durato quattro giorni, (l’11 aprile, 20 aprile,27 aprile e 2 maggio).</w:t>
      </w:r>
    </w:p>
    <w:p w14:paraId="7E8618F4" w14:textId="77777777" w:rsidR="00DA3DDB" w:rsidRPr="00055346" w:rsidRDefault="00DA3DDB" w:rsidP="005320BB">
      <w:pPr>
        <w:ind w:right="49"/>
        <w:jc w:val="both"/>
        <w:rPr>
          <w:rFonts w:ascii="Arial" w:hAnsi="Arial" w:cs="Arial"/>
          <w:sz w:val="24"/>
          <w:szCs w:val="28"/>
        </w:rPr>
      </w:pPr>
      <w:r w:rsidRPr="00055346">
        <w:rPr>
          <w:rFonts w:ascii="Arial" w:hAnsi="Arial" w:cs="Arial"/>
          <w:sz w:val="24"/>
          <w:szCs w:val="28"/>
        </w:rPr>
        <w:t>Ogni giornata durava quattro ore, dalle 9.00 alle 13.00.</w:t>
      </w:r>
    </w:p>
    <w:p w14:paraId="79783AD4" w14:textId="77777777" w:rsidR="00DA3DDB" w:rsidRPr="00055346" w:rsidRDefault="00DA3DDB" w:rsidP="005320BB">
      <w:pPr>
        <w:ind w:right="49"/>
        <w:jc w:val="both"/>
        <w:rPr>
          <w:rFonts w:ascii="Arial" w:hAnsi="Arial" w:cs="Arial"/>
          <w:sz w:val="24"/>
          <w:szCs w:val="28"/>
        </w:rPr>
      </w:pPr>
      <w:r w:rsidRPr="00055346">
        <w:rPr>
          <w:rFonts w:ascii="Arial" w:hAnsi="Arial" w:cs="Arial"/>
          <w:sz w:val="24"/>
          <w:szCs w:val="28"/>
        </w:rPr>
        <w:t>I ragazzi coinvolti nell’attività erano quattro, di cui</w:t>
      </w:r>
      <w:commentRangeStart w:id="2"/>
      <w:r w:rsidRPr="00055346">
        <w:rPr>
          <w:rFonts w:ascii="Arial" w:hAnsi="Arial" w:cs="Arial"/>
          <w:sz w:val="24"/>
          <w:szCs w:val="28"/>
        </w:rPr>
        <w:t xml:space="preserve"> uno</w:t>
      </w:r>
      <w:commentRangeEnd w:id="2"/>
      <w:r w:rsidR="005320BB">
        <w:rPr>
          <w:rStyle w:val="Rimandocommento"/>
        </w:rPr>
        <w:commentReference w:id="2"/>
      </w:r>
      <w:r w:rsidRPr="00055346">
        <w:rPr>
          <w:rFonts w:ascii="Arial" w:hAnsi="Arial" w:cs="Arial"/>
          <w:sz w:val="24"/>
          <w:szCs w:val="28"/>
        </w:rPr>
        <w:t xml:space="preserve"> spesso assente. I ragazzi erano seguiti da una tutor e tre borsisti che durante i giorni si alternavano. I ragazzi, per la maggior parte del tempo, sono stati nella sede del </w:t>
      </w:r>
      <w:commentRangeStart w:id="3"/>
      <w:r w:rsidRPr="00055346">
        <w:rPr>
          <w:rFonts w:ascii="Arial" w:hAnsi="Arial" w:cs="Arial"/>
          <w:sz w:val="24"/>
          <w:szCs w:val="28"/>
        </w:rPr>
        <w:t>Polo museale</w:t>
      </w:r>
      <w:commentRangeEnd w:id="3"/>
      <w:r w:rsidR="00AF24A0">
        <w:rPr>
          <w:rStyle w:val="Rimandocommento"/>
        </w:rPr>
        <w:commentReference w:id="3"/>
      </w:r>
      <w:r w:rsidRPr="00055346">
        <w:rPr>
          <w:rFonts w:ascii="Arial" w:hAnsi="Arial" w:cs="Arial"/>
          <w:sz w:val="24"/>
          <w:szCs w:val="28"/>
        </w:rPr>
        <w:t xml:space="preserve">, collocato nella città universitaria, mentre in </w:t>
      </w:r>
      <w:commentRangeStart w:id="5"/>
      <w:r w:rsidRPr="00055346">
        <w:rPr>
          <w:rFonts w:ascii="Arial" w:hAnsi="Arial" w:cs="Arial"/>
          <w:sz w:val="24"/>
          <w:szCs w:val="28"/>
        </w:rPr>
        <w:t>due</w:t>
      </w:r>
      <w:commentRangeEnd w:id="5"/>
      <w:r w:rsidR="005320BB">
        <w:rPr>
          <w:rStyle w:val="Rimandocommento"/>
        </w:rPr>
        <w:commentReference w:id="5"/>
      </w:r>
      <w:r w:rsidRPr="00055346">
        <w:rPr>
          <w:rFonts w:ascii="Arial" w:hAnsi="Arial" w:cs="Arial"/>
          <w:sz w:val="24"/>
          <w:szCs w:val="28"/>
        </w:rPr>
        <w:t xml:space="preserve"> giornate hanno svolto l’attività nel museo di Anatomia comparata. La struttura è collocata nel Dipartimento di Biologia e Biotecnologie "C. Darwin" in Via Borelli. Il museo al suo interno è suddiviso in 4 sale di esposizioni: </w:t>
      </w:r>
    </w:p>
    <w:p w14:paraId="1475D054" w14:textId="77777777" w:rsidR="00DA3DDB" w:rsidRPr="00055346" w:rsidRDefault="00DA3DDB" w:rsidP="005320BB">
      <w:pPr>
        <w:pStyle w:val="Paragrafoelenco"/>
        <w:numPr>
          <w:ilvl w:val="0"/>
          <w:numId w:val="2"/>
        </w:numPr>
        <w:ind w:left="0" w:right="49" w:firstLine="0"/>
        <w:jc w:val="both"/>
        <w:rPr>
          <w:rFonts w:ascii="Arial" w:hAnsi="Arial" w:cs="Arial"/>
          <w:sz w:val="24"/>
          <w:szCs w:val="28"/>
        </w:rPr>
      </w:pPr>
      <w:commentRangeStart w:id="6"/>
      <w:r w:rsidRPr="00055346">
        <w:rPr>
          <w:rFonts w:ascii="Arial" w:hAnsi="Arial" w:cs="Arial"/>
          <w:sz w:val="24"/>
          <w:szCs w:val="28"/>
        </w:rPr>
        <w:t>La sala dei cetacei;</w:t>
      </w:r>
      <w:r w:rsidRPr="00055346">
        <w:rPr>
          <w:rFonts w:ascii="Arial" w:hAnsi="Arial" w:cs="Arial"/>
          <w:color w:val="000000"/>
          <w:sz w:val="24"/>
          <w:szCs w:val="28"/>
          <w:shd w:val="clear" w:color="auto" w:fill="FFFFFF"/>
        </w:rPr>
        <w:t xml:space="preserve"> </w:t>
      </w:r>
      <w:r w:rsidRPr="00055346">
        <w:rPr>
          <w:rFonts w:ascii="Arial" w:hAnsi="Arial" w:cs="Arial"/>
          <w:sz w:val="24"/>
          <w:szCs w:val="28"/>
        </w:rPr>
        <w:t>Il colossale scheletro di una balenottera comune troneggia al centro della sala     cetacei.</w:t>
      </w:r>
      <w:r w:rsidRPr="00055346">
        <w:rPr>
          <w:rFonts w:ascii="Arial" w:hAnsi="Arial" w:cs="Arial"/>
          <w:color w:val="000000"/>
          <w:sz w:val="24"/>
          <w:szCs w:val="28"/>
          <w:shd w:val="clear" w:color="auto" w:fill="FFFFFF"/>
        </w:rPr>
        <w:t xml:space="preserve"> </w:t>
      </w:r>
      <w:r w:rsidRPr="00055346">
        <w:rPr>
          <w:rFonts w:ascii="Arial" w:hAnsi="Arial" w:cs="Arial"/>
          <w:sz w:val="24"/>
          <w:szCs w:val="28"/>
        </w:rPr>
        <w:t> Altri reperti completano la sala, come la scatola cranica di un'altra balenottera e lo scheletro di giraffa.</w:t>
      </w:r>
    </w:p>
    <w:p w14:paraId="06C5DCFE" w14:textId="77777777" w:rsidR="00DA3DDB" w:rsidRPr="00055346" w:rsidRDefault="00DA3DDB" w:rsidP="005320BB">
      <w:pPr>
        <w:pStyle w:val="Paragrafoelenco"/>
        <w:numPr>
          <w:ilvl w:val="0"/>
          <w:numId w:val="2"/>
        </w:numPr>
        <w:ind w:left="0" w:right="49" w:firstLine="0"/>
        <w:jc w:val="both"/>
        <w:rPr>
          <w:rFonts w:ascii="Arial" w:hAnsi="Arial" w:cs="Arial"/>
          <w:sz w:val="24"/>
          <w:szCs w:val="28"/>
        </w:rPr>
      </w:pPr>
      <w:r w:rsidRPr="00055346">
        <w:rPr>
          <w:rFonts w:ascii="Arial" w:hAnsi="Arial" w:cs="Arial"/>
          <w:sz w:val="24"/>
          <w:szCs w:val="28"/>
        </w:rPr>
        <w:t>La sala didattica; in questa sala sono ordinati per sistemi organici, i preparati anatomici esposti aiutano gli studenti nella preparazione dei loro esami universitari.</w:t>
      </w:r>
    </w:p>
    <w:p w14:paraId="6FBBB1C5" w14:textId="77777777" w:rsidR="00DA3DDB" w:rsidRPr="00055346" w:rsidRDefault="00DA3DDB" w:rsidP="005320BB">
      <w:pPr>
        <w:pStyle w:val="Paragrafoelenco"/>
        <w:numPr>
          <w:ilvl w:val="0"/>
          <w:numId w:val="1"/>
        </w:numPr>
        <w:ind w:left="0" w:right="49" w:firstLine="0"/>
        <w:jc w:val="both"/>
        <w:rPr>
          <w:rFonts w:ascii="Arial" w:hAnsi="Arial" w:cs="Arial"/>
          <w:sz w:val="24"/>
          <w:szCs w:val="28"/>
        </w:rPr>
      </w:pPr>
      <w:r w:rsidRPr="00055346">
        <w:rPr>
          <w:rFonts w:ascii="Arial" w:hAnsi="Arial" w:cs="Arial"/>
          <w:sz w:val="24"/>
          <w:szCs w:val="28"/>
        </w:rPr>
        <w:t>. La sala Grassi; in questa sala hanno voluto ricostruire in questo angolo del museo un tavolo di lavoro della fine del secolo scorso, utilizzando apparati ed arredi appartenuti al Prof. Battista Grassi, che diresse l'Istituto di Anatomia Comparata dal 1896 al 1926. Nella sala dedicata al Grassi,</w:t>
      </w:r>
      <w:r w:rsidRPr="00055346">
        <w:rPr>
          <w:rFonts w:ascii="Arial" w:hAnsi="Arial" w:cs="Arial"/>
          <w:color w:val="000000"/>
          <w:sz w:val="24"/>
          <w:szCs w:val="28"/>
          <w:shd w:val="clear" w:color="auto" w:fill="FFFFFF"/>
        </w:rPr>
        <w:t xml:space="preserve"> </w:t>
      </w:r>
      <w:r w:rsidRPr="00055346">
        <w:rPr>
          <w:rFonts w:ascii="Arial" w:hAnsi="Arial" w:cs="Arial"/>
          <w:sz w:val="24"/>
          <w:szCs w:val="28"/>
        </w:rPr>
        <w:t>sono esposti antichi modelli anatomici di Jérome Auzoux e i modelli di cera di Adolf e Friedrich Ziegler.</w:t>
      </w:r>
    </w:p>
    <w:p w14:paraId="0E9FC6EF" w14:textId="77777777" w:rsidR="00DA3DDB" w:rsidRPr="00055346" w:rsidRDefault="00DA3DDB" w:rsidP="005320BB">
      <w:pPr>
        <w:pStyle w:val="Paragrafoelenco"/>
        <w:numPr>
          <w:ilvl w:val="0"/>
          <w:numId w:val="1"/>
        </w:numPr>
        <w:ind w:left="0" w:right="49" w:firstLine="0"/>
        <w:jc w:val="both"/>
        <w:rPr>
          <w:rFonts w:ascii="Arial" w:hAnsi="Arial" w:cs="Arial"/>
          <w:sz w:val="24"/>
          <w:szCs w:val="28"/>
        </w:rPr>
      </w:pPr>
      <w:r w:rsidRPr="00055346">
        <w:rPr>
          <w:rFonts w:ascii="Arial" w:hAnsi="Arial" w:cs="Arial"/>
          <w:sz w:val="24"/>
          <w:szCs w:val="28"/>
        </w:rPr>
        <w:t>La sala dei Microscopi; In queste sale sono esposti antichi strumenti per l'analisi microscopica delle strutture: microtomi, microscopi, apparati microfotografici che datano dalla fine del '700 ai primi anni del '900 fino a moderni microscopi elettronici a trasmissione e a scansione.</w:t>
      </w:r>
      <w:commentRangeEnd w:id="6"/>
      <w:r w:rsidR="005320BB">
        <w:rPr>
          <w:rStyle w:val="Rimandocommento"/>
        </w:rPr>
        <w:commentReference w:id="6"/>
      </w:r>
    </w:p>
    <w:p w14:paraId="229F75C0" w14:textId="77777777" w:rsidR="00DA3DDB" w:rsidRPr="00055346" w:rsidRDefault="00DA3DDB" w:rsidP="005320BB">
      <w:pPr>
        <w:ind w:right="49"/>
        <w:jc w:val="both"/>
        <w:rPr>
          <w:rFonts w:ascii="Arial" w:hAnsi="Arial" w:cs="Arial"/>
          <w:sz w:val="24"/>
          <w:szCs w:val="28"/>
        </w:rPr>
      </w:pPr>
      <w:r w:rsidRPr="00055346">
        <w:rPr>
          <w:rFonts w:ascii="Arial" w:hAnsi="Arial" w:cs="Arial"/>
          <w:sz w:val="24"/>
          <w:szCs w:val="28"/>
        </w:rPr>
        <w:t xml:space="preserve">In tutte queste aule i ragazzi, una volta entrati, hanno potuto fotografare le diverse esposizioni, per </w:t>
      </w:r>
      <w:commentRangeStart w:id="7"/>
      <w:r w:rsidRPr="00055346">
        <w:rPr>
          <w:rFonts w:ascii="Arial" w:hAnsi="Arial" w:cs="Arial"/>
          <w:sz w:val="24"/>
          <w:szCs w:val="28"/>
        </w:rPr>
        <w:t>poi completare l’attività</w:t>
      </w:r>
      <w:commentRangeEnd w:id="7"/>
      <w:r w:rsidR="005320BB">
        <w:rPr>
          <w:rStyle w:val="Rimandocommento"/>
        </w:rPr>
        <w:commentReference w:id="7"/>
      </w:r>
      <w:r w:rsidRPr="00055346">
        <w:rPr>
          <w:rFonts w:ascii="Arial" w:hAnsi="Arial" w:cs="Arial"/>
          <w:sz w:val="24"/>
          <w:szCs w:val="28"/>
        </w:rPr>
        <w:t xml:space="preserve">. </w:t>
      </w:r>
    </w:p>
    <w:p w14:paraId="5A74FFB2" w14:textId="77777777" w:rsidR="00DA2FA9" w:rsidRPr="00055346" w:rsidRDefault="00DA2FA9" w:rsidP="005320BB">
      <w:pPr>
        <w:ind w:right="49"/>
        <w:jc w:val="both"/>
        <w:rPr>
          <w:sz w:val="18"/>
        </w:rPr>
      </w:pPr>
    </w:p>
    <w:sectPr w:rsidR="00DA2FA9" w:rsidRPr="00055346">
      <w:pgSz w:w="12240" w:h="20160"/>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riana" w:date="2017-06-20T17:21:00Z" w:initials="A">
    <w:p w14:paraId="7233CC20" w14:textId="77777777" w:rsidR="005320BB" w:rsidRDefault="005320BB">
      <w:pPr>
        <w:pStyle w:val="Testocommento"/>
      </w:pPr>
      <w:r>
        <w:rPr>
          <w:rStyle w:val="Rimandocommento"/>
        </w:rPr>
        <w:annotationRef/>
      </w:r>
      <w:r>
        <w:t>Questo paragrafo descrive come si sono svolte le osservazioni. Bisogna scrivere chi ha osservato, quando, per quanto tempo, quante ore, dove, che tipo di spazi erano, quanti ragazzi, come erano disposti, che tipo di lavori hanno fatto, etc. Vedi forum news</w:t>
      </w:r>
    </w:p>
  </w:comment>
  <w:comment w:id="1" w:author="Adriana" w:date="2017-06-20T17:18:00Z" w:initials="A">
    <w:p w14:paraId="482AD0E6" w14:textId="77777777" w:rsidR="005320BB" w:rsidRDefault="005320BB">
      <w:pPr>
        <w:pStyle w:val="Testocommento"/>
      </w:pPr>
      <w:r>
        <w:rPr>
          <w:rStyle w:val="Rimandocommento"/>
        </w:rPr>
        <w:annotationRef/>
      </w:r>
      <w:r>
        <w:t xml:space="preserve">Quale? Migliorare intro, meno schematica. </w:t>
      </w:r>
    </w:p>
  </w:comment>
  <w:comment w:id="2" w:author="Adriana" w:date="2017-06-20T17:18:00Z" w:initials="A">
    <w:p w14:paraId="2D9CE956" w14:textId="77777777" w:rsidR="005320BB" w:rsidRDefault="005320BB">
      <w:pPr>
        <w:pStyle w:val="Testocommento"/>
      </w:pPr>
      <w:r>
        <w:rPr>
          <w:rStyle w:val="Rimandocommento"/>
        </w:rPr>
        <w:annotationRef/>
      </w:r>
      <w:r>
        <w:t>Sempre lo stesso?</w:t>
      </w:r>
    </w:p>
  </w:comment>
  <w:comment w:id="3" w:author="Adriana" w:date="2017-06-20T17:24:00Z" w:initials="A">
    <w:p w14:paraId="4FCFACCE" w14:textId="4731D68C" w:rsidR="00AF24A0" w:rsidRDefault="00AF24A0">
      <w:pPr>
        <w:pStyle w:val="Testocommento"/>
      </w:pPr>
      <w:r>
        <w:rPr>
          <w:rStyle w:val="Rimandocommento"/>
        </w:rPr>
        <w:annotationRef/>
      </w:r>
      <w:r>
        <w:t>Quale? Perché? Che hanno fatto lì? che tipo di spazio era? Come li avete osservati? Che problemi avete riscontrato nell’osservarli lì? quindi sono state due osservazioni differenti, che differenze ci sono state? Che tipo di lezioni erano?</w:t>
      </w:r>
      <w:bookmarkStart w:id="4" w:name="_GoBack"/>
      <w:bookmarkEnd w:id="4"/>
    </w:p>
  </w:comment>
  <w:comment w:id="5" w:author="Adriana" w:date="2017-06-20T17:19:00Z" w:initials="A">
    <w:p w14:paraId="77B063A7" w14:textId="77777777" w:rsidR="005320BB" w:rsidRDefault="005320BB">
      <w:pPr>
        <w:pStyle w:val="Testocommento"/>
      </w:pPr>
      <w:r>
        <w:rPr>
          <w:rStyle w:val="Rimandocommento"/>
        </w:rPr>
        <w:annotationRef/>
      </w:r>
      <w:r>
        <w:t>Due o una? Alessandra sottile afferma una, chiarire questo punto</w:t>
      </w:r>
    </w:p>
  </w:comment>
  <w:comment w:id="6" w:author="Adriana" w:date="2017-06-20T17:20:00Z" w:initials="A">
    <w:p w14:paraId="44EBEE96" w14:textId="77777777" w:rsidR="005320BB" w:rsidRDefault="005320BB">
      <w:pPr>
        <w:pStyle w:val="Testocommento"/>
      </w:pPr>
      <w:r>
        <w:rPr>
          <w:rStyle w:val="Rimandocommento"/>
        </w:rPr>
        <w:annotationRef/>
      </w:r>
      <w:r>
        <w:t>Questo pezzo è copiato da internet?</w:t>
      </w:r>
    </w:p>
  </w:comment>
  <w:comment w:id="7" w:author="Adriana" w:date="2017-06-20T17:21:00Z" w:initials="A">
    <w:p w14:paraId="2A2CC025" w14:textId="77777777" w:rsidR="005320BB" w:rsidRDefault="005320BB">
      <w:pPr>
        <w:pStyle w:val="Testocommento"/>
      </w:pPr>
      <w:r>
        <w:rPr>
          <w:rStyle w:val="Rimandocommento"/>
        </w:rPr>
        <w:annotationRef/>
      </w:r>
      <w:r>
        <w:t>Cioè? Che vuol dire?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33CC20" w15:done="0"/>
  <w15:commentEx w15:paraId="482AD0E6" w15:done="0"/>
  <w15:commentEx w15:paraId="2D9CE956" w15:done="0"/>
  <w15:commentEx w15:paraId="4FCFACCE" w15:done="0"/>
  <w15:commentEx w15:paraId="77B063A7" w15:done="0"/>
  <w15:commentEx w15:paraId="44EBEE96" w15:done="0"/>
  <w15:commentEx w15:paraId="2A2CC0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33CC20" w16cid:durableId="1CF3D81A"/>
  <w16cid:commentId w16cid:paraId="482AD0E6" w16cid:durableId="1CF3D751"/>
  <w16cid:commentId w16cid:paraId="2D9CE956" w16cid:durableId="1CF3D77D"/>
  <w16cid:commentId w16cid:paraId="4FCFACCE" w16cid:durableId="1CF3D8B6"/>
  <w16cid:commentId w16cid:paraId="77B063A7" w16cid:durableId="1CF3D79D"/>
  <w16cid:commentId w16cid:paraId="44EBEE96" w16cid:durableId="1CF3D7F6"/>
  <w16cid:commentId w16cid:paraId="2A2CC025" w16cid:durableId="1CF3D8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7C1"/>
    <w:multiLevelType w:val="hybridMultilevel"/>
    <w:tmpl w:val="9C90CDB8"/>
    <w:lvl w:ilvl="0" w:tplc="04100001">
      <w:start w:val="1"/>
      <w:numFmt w:val="bullet"/>
      <w:lvlText w:val=""/>
      <w:lvlJc w:val="left"/>
      <w:pPr>
        <w:ind w:left="447" w:hanging="360"/>
      </w:pPr>
      <w:rPr>
        <w:rFonts w:ascii="Symbol" w:hAnsi="Symbol" w:hint="default"/>
      </w:rPr>
    </w:lvl>
    <w:lvl w:ilvl="1" w:tplc="04100003" w:tentative="1">
      <w:start w:val="1"/>
      <w:numFmt w:val="bullet"/>
      <w:lvlText w:val="o"/>
      <w:lvlJc w:val="left"/>
      <w:pPr>
        <w:ind w:left="1167" w:hanging="360"/>
      </w:pPr>
      <w:rPr>
        <w:rFonts w:ascii="Courier New" w:hAnsi="Courier New" w:cs="Courier New" w:hint="default"/>
      </w:rPr>
    </w:lvl>
    <w:lvl w:ilvl="2" w:tplc="04100005" w:tentative="1">
      <w:start w:val="1"/>
      <w:numFmt w:val="bullet"/>
      <w:lvlText w:val=""/>
      <w:lvlJc w:val="left"/>
      <w:pPr>
        <w:ind w:left="1887" w:hanging="360"/>
      </w:pPr>
      <w:rPr>
        <w:rFonts w:ascii="Wingdings" w:hAnsi="Wingdings" w:hint="default"/>
      </w:rPr>
    </w:lvl>
    <w:lvl w:ilvl="3" w:tplc="04100001" w:tentative="1">
      <w:start w:val="1"/>
      <w:numFmt w:val="bullet"/>
      <w:lvlText w:val=""/>
      <w:lvlJc w:val="left"/>
      <w:pPr>
        <w:ind w:left="2607" w:hanging="360"/>
      </w:pPr>
      <w:rPr>
        <w:rFonts w:ascii="Symbol" w:hAnsi="Symbol" w:hint="default"/>
      </w:rPr>
    </w:lvl>
    <w:lvl w:ilvl="4" w:tplc="04100003" w:tentative="1">
      <w:start w:val="1"/>
      <w:numFmt w:val="bullet"/>
      <w:lvlText w:val="o"/>
      <w:lvlJc w:val="left"/>
      <w:pPr>
        <w:ind w:left="3327" w:hanging="360"/>
      </w:pPr>
      <w:rPr>
        <w:rFonts w:ascii="Courier New" w:hAnsi="Courier New" w:cs="Courier New" w:hint="default"/>
      </w:rPr>
    </w:lvl>
    <w:lvl w:ilvl="5" w:tplc="04100005" w:tentative="1">
      <w:start w:val="1"/>
      <w:numFmt w:val="bullet"/>
      <w:lvlText w:val=""/>
      <w:lvlJc w:val="left"/>
      <w:pPr>
        <w:ind w:left="4047" w:hanging="360"/>
      </w:pPr>
      <w:rPr>
        <w:rFonts w:ascii="Wingdings" w:hAnsi="Wingdings" w:hint="default"/>
      </w:rPr>
    </w:lvl>
    <w:lvl w:ilvl="6" w:tplc="04100001" w:tentative="1">
      <w:start w:val="1"/>
      <w:numFmt w:val="bullet"/>
      <w:lvlText w:val=""/>
      <w:lvlJc w:val="left"/>
      <w:pPr>
        <w:ind w:left="4767" w:hanging="360"/>
      </w:pPr>
      <w:rPr>
        <w:rFonts w:ascii="Symbol" w:hAnsi="Symbol" w:hint="default"/>
      </w:rPr>
    </w:lvl>
    <w:lvl w:ilvl="7" w:tplc="04100003" w:tentative="1">
      <w:start w:val="1"/>
      <w:numFmt w:val="bullet"/>
      <w:lvlText w:val="o"/>
      <w:lvlJc w:val="left"/>
      <w:pPr>
        <w:ind w:left="5487" w:hanging="360"/>
      </w:pPr>
      <w:rPr>
        <w:rFonts w:ascii="Courier New" w:hAnsi="Courier New" w:cs="Courier New" w:hint="default"/>
      </w:rPr>
    </w:lvl>
    <w:lvl w:ilvl="8" w:tplc="04100005" w:tentative="1">
      <w:start w:val="1"/>
      <w:numFmt w:val="bullet"/>
      <w:lvlText w:val=""/>
      <w:lvlJc w:val="left"/>
      <w:pPr>
        <w:ind w:left="6207" w:hanging="360"/>
      </w:pPr>
      <w:rPr>
        <w:rFonts w:ascii="Wingdings" w:hAnsi="Wingdings" w:hint="default"/>
      </w:rPr>
    </w:lvl>
  </w:abstractNum>
  <w:abstractNum w:abstractNumId="1" w15:restartNumberingAfterBreak="0">
    <w:nsid w:val="1AF443D3"/>
    <w:multiLevelType w:val="hybridMultilevel"/>
    <w:tmpl w:val="8836E658"/>
    <w:lvl w:ilvl="0" w:tplc="04100001">
      <w:start w:val="1"/>
      <w:numFmt w:val="bullet"/>
      <w:lvlText w:val=""/>
      <w:lvlJc w:val="left"/>
      <w:pPr>
        <w:ind w:left="-273" w:hanging="360"/>
      </w:pPr>
      <w:rPr>
        <w:rFonts w:ascii="Symbol" w:hAnsi="Symbol"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a">
    <w15:presenceInfo w15:providerId="None" w15:userId="Adr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DDB"/>
    <w:rsid w:val="00055346"/>
    <w:rsid w:val="005320BB"/>
    <w:rsid w:val="00AF24A0"/>
    <w:rsid w:val="00DA2FA9"/>
    <w:rsid w:val="00DA3D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A3FBB0"/>
  <w14:defaultImageDpi w14:val="300"/>
  <w15:docId w15:val="{084707D2-2E94-4C45-B034-6414EF44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3DDB"/>
    <w:pPr>
      <w:spacing w:after="120" w:line="264" w:lineRule="auto"/>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rsid w:val="00DA3DDB"/>
    <w:pPr>
      <w:ind w:left="720"/>
      <w:contextualSpacing/>
    </w:pPr>
  </w:style>
  <w:style w:type="character" w:styleId="Rimandocommento">
    <w:name w:val="annotation reference"/>
    <w:basedOn w:val="Carpredefinitoparagrafo"/>
    <w:uiPriority w:val="99"/>
    <w:semiHidden/>
    <w:unhideWhenUsed/>
    <w:rsid w:val="005320BB"/>
    <w:rPr>
      <w:sz w:val="16"/>
      <w:szCs w:val="16"/>
    </w:rPr>
  </w:style>
  <w:style w:type="paragraph" w:styleId="Testocommento">
    <w:name w:val="annotation text"/>
    <w:basedOn w:val="Normale"/>
    <w:link w:val="TestocommentoCarattere"/>
    <w:uiPriority w:val="99"/>
    <w:semiHidden/>
    <w:unhideWhenUsed/>
    <w:rsid w:val="005320BB"/>
    <w:pPr>
      <w:spacing w:line="240" w:lineRule="auto"/>
    </w:pPr>
  </w:style>
  <w:style w:type="character" w:customStyle="1" w:styleId="TestocommentoCarattere">
    <w:name w:val="Testo commento Carattere"/>
    <w:basedOn w:val="Carpredefinitoparagrafo"/>
    <w:link w:val="Testocommento"/>
    <w:uiPriority w:val="99"/>
    <w:semiHidden/>
    <w:rsid w:val="005320BB"/>
    <w:rPr>
      <w:sz w:val="20"/>
      <w:szCs w:val="20"/>
    </w:rPr>
  </w:style>
  <w:style w:type="paragraph" w:styleId="Soggettocommento">
    <w:name w:val="annotation subject"/>
    <w:basedOn w:val="Testocommento"/>
    <w:next w:val="Testocommento"/>
    <w:link w:val="SoggettocommentoCarattere"/>
    <w:uiPriority w:val="99"/>
    <w:semiHidden/>
    <w:unhideWhenUsed/>
    <w:rsid w:val="005320BB"/>
    <w:rPr>
      <w:b/>
      <w:bCs/>
    </w:rPr>
  </w:style>
  <w:style w:type="character" w:customStyle="1" w:styleId="SoggettocommentoCarattere">
    <w:name w:val="Soggetto commento Carattere"/>
    <w:basedOn w:val="TestocommentoCarattere"/>
    <w:link w:val="Soggettocommento"/>
    <w:uiPriority w:val="99"/>
    <w:semiHidden/>
    <w:rsid w:val="005320BB"/>
    <w:rPr>
      <w:b/>
      <w:bCs/>
      <w:sz w:val="20"/>
      <w:szCs w:val="20"/>
    </w:rPr>
  </w:style>
  <w:style w:type="paragraph" w:styleId="Testofumetto">
    <w:name w:val="Balloon Text"/>
    <w:basedOn w:val="Normale"/>
    <w:link w:val="TestofumettoCarattere"/>
    <w:uiPriority w:val="99"/>
    <w:semiHidden/>
    <w:unhideWhenUsed/>
    <w:rsid w:val="005320B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20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boldrighini</dc:creator>
  <cp:keywords/>
  <dc:description/>
  <cp:lastModifiedBy>Adriana</cp:lastModifiedBy>
  <cp:revision>3</cp:revision>
  <dcterms:created xsi:type="dcterms:W3CDTF">2017-06-20T15:23:00Z</dcterms:created>
  <dcterms:modified xsi:type="dcterms:W3CDTF">2017-06-20T15:25:00Z</dcterms:modified>
</cp:coreProperties>
</file>