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9F" w:rsidRDefault="0090629F" w:rsidP="005E443F">
      <w:pPr>
        <w:rPr>
          <w:color w:val="000000" w:themeColor="text1"/>
        </w:rPr>
      </w:pPr>
    </w:p>
    <w:p w:rsidR="0090629F" w:rsidRDefault="0090629F" w:rsidP="005E443F">
      <w:pPr>
        <w:rPr>
          <w:color w:val="000000" w:themeColor="text1"/>
        </w:rPr>
      </w:pPr>
    </w:p>
    <w:p w:rsidR="00E73AEB" w:rsidRDefault="00E73AEB" w:rsidP="005E443F">
      <w:pPr>
        <w:rPr>
          <w:color w:val="000000" w:themeColor="text1"/>
        </w:rPr>
      </w:pPr>
    </w:p>
    <w:p w:rsidR="00F11108" w:rsidRPr="0090629F" w:rsidRDefault="00700AC6" w:rsidP="005E443F">
      <w:pPr>
        <w:rPr>
          <w:color w:val="000000" w:themeColor="text1"/>
        </w:rPr>
      </w:pPr>
      <w:r w:rsidRPr="00700AC6">
        <w:rPr>
          <w:color w:val="000000" w:themeColor="text1"/>
        </w:rPr>
        <w:drawing>
          <wp:inline distT="0" distB="0" distL="0" distR="0" wp14:anchorId="1C04071E" wp14:editId="6191C0E5">
            <wp:extent cx="6120130" cy="104648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" t="17283" r="-156" b="-17283"/>
                    <a:stretch/>
                  </pic:blipFill>
                  <pic:spPr bwMode="auto">
                    <a:xfrm>
                      <a:off x="0" y="0"/>
                      <a:ext cx="61201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29F" w:rsidRDefault="00700AC6" w:rsidP="005E443F">
      <w:r w:rsidRPr="00700AC6">
        <w:rPr>
          <w:noProof/>
          <w:color w:val="000000" w:themeColor="text1"/>
          <w:lang w:eastAsia="it-IT"/>
        </w:rPr>
        <w:drawing>
          <wp:inline distT="0" distB="0" distL="0" distR="0" wp14:anchorId="1A63EF5B" wp14:editId="06E237ED">
            <wp:extent cx="4572000" cy="2743200"/>
            <wp:effectExtent l="0" t="0" r="0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629F" w:rsidRDefault="0090629F" w:rsidP="005E443F"/>
    <w:p w:rsidR="0090629F" w:rsidRDefault="0090629F" w:rsidP="005E443F"/>
    <w:p w:rsidR="00E73AEB" w:rsidRDefault="0090629F" w:rsidP="00E73AEB">
      <w:pPr>
        <w:jc w:val="center"/>
      </w:pPr>
      <w:r w:rsidRPr="00564661">
        <w:rPr>
          <w:rFonts w:ascii="Garamond" w:hAnsi="Garamond"/>
          <w:lang w:bidi="en-US"/>
        </w:rPr>
        <w:t xml:space="preserve">Tabella </w:t>
      </w:r>
      <w:r>
        <w:rPr>
          <w:rFonts w:ascii="Garamond" w:hAnsi="Garamond"/>
          <w:lang w:bidi="en-US"/>
        </w:rPr>
        <w:t xml:space="preserve">7: </w:t>
      </w:r>
      <w:r>
        <w:rPr>
          <w:rFonts w:ascii="Garamond" w:hAnsi="Garamond"/>
          <w:i/>
          <w:noProof/>
        </w:rPr>
        <w:t>Confronto</w:t>
      </w:r>
      <w:r>
        <w:rPr>
          <w:rFonts w:ascii="Garamond" w:hAnsi="Garamond"/>
          <w:i/>
          <w:noProof/>
        </w:rPr>
        <w:t xml:space="preserve"> prima iscrizione universitaria.</w:t>
      </w:r>
    </w:p>
    <w:p w:rsidR="00E73AEB" w:rsidRDefault="00E73AEB" w:rsidP="00E73AEB">
      <w:pPr>
        <w:jc w:val="center"/>
      </w:pPr>
    </w:p>
    <w:p w:rsidR="00E73AEB" w:rsidRPr="00E73AEB" w:rsidRDefault="00E73AEB" w:rsidP="00E73AEB">
      <w:pPr>
        <w:jc w:val="center"/>
      </w:pPr>
    </w:p>
    <w:p w:rsidR="0090629F" w:rsidRDefault="0090629F" w:rsidP="005E443F">
      <w:r>
        <w:rPr>
          <w:rFonts w:ascii="Garamond" w:hAnsi="Garamond"/>
          <w:noProof/>
        </w:rPr>
        <w:t xml:space="preserve">I nuovi iscritti ad un corso di laurea spesso hanno avuto altre iscrizioni universitarie. Lo status di “matricola” nasconde i precedenti percorsi solo previa rinuncia, altrimenti li riconosce in termini di crediti pregressi. </w:t>
      </w:r>
      <w:r>
        <w:rPr>
          <w:rFonts w:ascii="Garamond" w:hAnsi="Garamond"/>
          <w:noProof/>
        </w:rPr>
        <w:t>La tabella</w:t>
      </w:r>
      <w:r>
        <w:rPr>
          <w:rFonts w:ascii="Garamond" w:hAnsi="Garamond"/>
          <w:noProof/>
        </w:rPr>
        <w:t xml:space="preserve"> 7 mostra i dati riguardanti la prima iscrizione universitaria degli studenti, negli aa</w:t>
      </w:r>
      <w:r>
        <w:rPr>
          <w:rFonts w:ascii="Garamond" w:hAnsi="Garamond"/>
          <w:noProof/>
        </w:rPr>
        <w:t>.aa. che vanno dal 2011 al  2017</w:t>
      </w:r>
      <w:r>
        <w:rPr>
          <w:rFonts w:ascii="Garamond" w:hAnsi="Garamond"/>
          <w:noProof/>
        </w:rPr>
        <w:t>. Per quanto riguarda l’anno 2015/2016 il 63% degli studenti, iscritti al primo anno, non presenta</w:t>
      </w:r>
      <w:r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w:t xml:space="preserve">un percorso universitario pregresso. Confrontando questi dati con quelli degli anni precedenti possiamo notare che </w:t>
      </w:r>
      <w:r>
        <w:rPr>
          <w:rFonts w:ascii="Garamond" w:hAnsi="Garamond"/>
          <w:noProof/>
        </w:rPr>
        <w:t>lo scorso anno</w:t>
      </w:r>
      <w:r>
        <w:rPr>
          <w:rFonts w:ascii="Garamond" w:hAnsi="Garamond"/>
          <w:noProof/>
        </w:rPr>
        <w:t xml:space="preserve"> il numero di studenti che presentano iscrizioni precedenti in altre facoltà è aumentato notevolmente, arrivando al 37%</w:t>
      </w:r>
      <w:r>
        <w:rPr>
          <w:rFonts w:ascii="Garamond" w:hAnsi="Garamond"/>
          <w:noProof/>
        </w:rPr>
        <w:t>. Mentre nell’ultimo anno 2016/2017, il numero degli studenti che non presentano un percorso universitario pregresso si è alzato fino ad arrivare all’85.29%, rispetto al 63% dell’anno precedente.</w:t>
      </w:r>
    </w:p>
    <w:p w:rsidR="0090629F" w:rsidRDefault="0090629F" w:rsidP="005E443F"/>
    <w:p w:rsidR="0090629F" w:rsidRDefault="0090629F" w:rsidP="005E443F"/>
    <w:p w:rsidR="0090629F" w:rsidRDefault="0090629F" w:rsidP="005E443F"/>
    <w:p w:rsidR="00E73AEB" w:rsidRDefault="00E73AEB" w:rsidP="005E443F"/>
    <w:p w:rsidR="00E73AEB" w:rsidRDefault="00E73AEB" w:rsidP="005E443F"/>
    <w:p w:rsidR="003F07E3" w:rsidRDefault="005E443F" w:rsidP="005E443F">
      <w:r w:rsidRPr="005E443F">
        <w:drawing>
          <wp:inline distT="0" distB="0" distL="0" distR="0">
            <wp:extent cx="6120130" cy="2626419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3F" w:rsidRDefault="005E443F" w:rsidP="005E443F">
      <w:bookmarkStart w:id="0" w:name="_GoBack"/>
    </w:p>
    <w:bookmarkEnd w:id="0"/>
    <w:p w:rsidR="00E73AEB" w:rsidRDefault="00E73AEB" w:rsidP="0090629F">
      <w:pPr>
        <w:jc w:val="center"/>
        <w:rPr>
          <w:rFonts w:ascii="Garamond" w:hAnsi="Garamond"/>
          <w:lang w:bidi="en-US"/>
        </w:rPr>
      </w:pPr>
    </w:p>
    <w:p w:rsidR="00E73AEB" w:rsidRDefault="00E73AEB" w:rsidP="0090629F">
      <w:pPr>
        <w:jc w:val="center"/>
        <w:rPr>
          <w:rFonts w:ascii="Garamond" w:hAnsi="Garamond"/>
          <w:lang w:bidi="en-US"/>
        </w:rPr>
      </w:pPr>
    </w:p>
    <w:p w:rsidR="00E73AEB" w:rsidRDefault="005E443F" w:rsidP="00E73AEB">
      <w:pPr>
        <w:jc w:val="center"/>
        <w:rPr>
          <w:rFonts w:ascii="Garamond" w:hAnsi="Garamond"/>
          <w:i/>
          <w:lang w:bidi="en-US"/>
        </w:rPr>
      </w:pPr>
      <w:r w:rsidRPr="00564661">
        <w:rPr>
          <w:rFonts w:ascii="Garamond" w:hAnsi="Garamond"/>
          <w:lang w:bidi="en-US"/>
        </w:rPr>
        <w:t xml:space="preserve">Tabella </w:t>
      </w:r>
      <w:r>
        <w:rPr>
          <w:rFonts w:ascii="Garamond" w:hAnsi="Garamond"/>
          <w:lang w:bidi="en-US"/>
        </w:rPr>
        <w:t>6:</w:t>
      </w:r>
      <w:r w:rsidRPr="00564661">
        <w:rPr>
          <w:rFonts w:ascii="Garamond" w:hAnsi="Garamond"/>
          <w:lang w:bidi="en-US"/>
        </w:rPr>
        <w:t xml:space="preserve"> </w:t>
      </w:r>
      <w:r w:rsidRPr="00564661">
        <w:rPr>
          <w:rFonts w:ascii="Garamond" w:hAnsi="Garamond"/>
          <w:i/>
          <w:lang w:bidi="en-US"/>
        </w:rPr>
        <w:t>Facoltà di provenienza</w:t>
      </w:r>
      <w:r>
        <w:rPr>
          <w:rFonts w:ascii="Garamond" w:hAnsi="Garamond"/>
          <w:i/>
          <w:lang w:bidi="en-US"/>
        </w:rPr>
        <w:t xml:space="preserve"> degli st</w:t>
      </w:r>
      <w:r w:rsidR="00E73AEB">
        <w:rPr>
          <w:rFonts w:ascii="Garamond" w:hAnsi="Garamond"/>
          <w:i/>
          <w:lang w:bidi="en-US"/>
        </w:rPr>
        <w:t>udenti con precedenti iscrizioni</w:t>
      </w:r>
    </w:p>
    <w:p w:rsidR="00E73AEB" w:rsidRDefault="00E73AEB" w:rsidP="00E73AEB">
      <w:pPr>
        <w:jc w:val="center"/>
        <w:rPr>
          <w:rFonts w:ascii="Garamond" w:hAnsi="Garamond"/>
          <w:i/>
          <w:lang w:bidi="en-US"/>
        </w:rPr>
      </w:pPr>
    </w:p>
    <w:p w:rsidR="00E73AEB" w:rsidRDefault="00E73AEB" w:rsidP="00E73AEB">
      <w:pPr>
        <w:jc w:val="center"/>
        <w:rPr>
          <w:rFonts w:ascii="Garamond" w:hAnsi="Garamond"/>
          <w:lang w:bidi="en-US"/>
        </w:rPr>
      </w:pPr>
    </w:p>
    <w:p w:rsidR="005E443F" w:rsidRDefault="00F11108" w:rsidP="005E443F">
      <w:pPr>
        <w:spacing w:before="360"/>
        <w:ind w:firstLine="284"/>
        <w:jc w:val="both"/>
      </w:pPr>
      <w:r>
        <w:rPr>
          <w:rFonts w:ascii="Garamond" w:hAnsi="Garamond"/>
          <w:noProof/>
        </w:rPr>
        <w:t>Dai dati, si rileva che gli studenti provengono da diverse facoltà; i</w:t>
      </w:r>
      <w:r w:rsidR="005E443F">
        <w:rPr>
          <w:rFonts w:ascii="Garamond" w:hAnsi="Garamond"/>
          <w:noProof/>
        </w:rPr>
        <w:t xml:space="preserve">n questa tabella risulta che nell’anno accademico 2012/2013 le facoltà di provenienza prevalenti sono state quelle di Lettere e Filosofia, Scienze Matematiche Fisiche e Naturali, Medicina e Psicologia. Negli a.a 2013/2014 e 2014/2015, invece, risulta essere stata Giurisprudenza la facoltà di provenienza prevalente. Mentre nell’anno accademico 2015/2016 </w:t>
      </w:r>
      <w:r w:rsidR="005E443F">
        <w:rPr>
          <w:rFonts w:ascii="Garamond" w:hAnsi="Garamond"/>
          <w:noProof/>
        </w:rPr>
        <w:t>notiamo che Lettere e Filosofia, ha un alto risultato di provenienza, rispetto a tutte le altre.</w:t>
      </w:r>
      <w:r w:rsidR="005E443F">
        <w:rPr>
          <w:rFonts w:ascii="Garamond" w:hAnsi="Garamond"/>
          <w:noProof/>
        </w:rPr>
        <w:t xml:space="preserve"> Nell’anno 2016/2017 </w:t>
      </w:r>
      <w:r w:rsidR="005E443F">
        <w:rPr>
          <w:rFonts w:ascii="Garamond" w:hAnsi="Garamond"/>
          <w:noProof/>
        </w:rPr>
        <w:t xml:space="preserve">alcune facoltà come ad esempio Economia e Giusprudenza oppure Ingegneria e </w:t>
      </w:r>
      <w:r w:rsidR="00174C2F">
        <w:rPr>
          <w:rFonts w:ascii="Garamond" w:hAnsi="Garamond"/>
          <w:noProof/>
        </w:rPr>
        <w:t xml:space="preserve">Scienze Geologiche, sono più o meno omogenee tra loro. Inoltre possiamo notare che il 2016/2017 rispetto all’anno precedente ha un risultato di facoltà di provenienza molto più basso. </w:t>
      </w:r>
    </w:p>
    <w:p w:rsidR="00F11108" w:rsidRDefault="00F11108" w:rsidP="005E443F"/>
    <w:p w:rsidR="00F11108" w:rsidRDefault="00F11108" w:rsidP="005E443F"/>
    <w:p w:rsidR="00F11108" w:rsidRDefault="00F11108" w:rsidP="005E443F"/>
    <w:p w:rsidR="00F11108" w:rsidRDefault="00F11108" w:rsidP="005E443F"/>
    <w:p w:rsidR="00F11108" w:rsidRDefault="00F11108" w:rsidP="005E443F"/>
    <w:p w:rsidR="00F11108" w:rsidRDefault="00F11108" w:rsidP="005E443F"/>
    <w:p w:rsidR="005E443F" w:rsidRPr="005E443F" w:rsidRDefault="005E443F" w:rsidP="005E443F"/>
    <w:sectPr w:rsidR="005E443F" w:rsidRPr="005E4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3F"/>
    <w:rsid w:val="00174C2F"/>
    <w:rsid w:val="003F07E3"/>
    <w:rsid w:val="005E443F"/>
    <w:rsid w:val="00700AC6"/>
    <w:rsid w:val="0090629F"/>
    <w:rsid w:val="00E73AEB"/>
    <w:rsid w:val="00F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935-1118-426C-973C-A541BF38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glio_di_lavoro_di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Foglio1!$C$6:$H$6</c:f>
              <c:strCache>
                <c:ptCount val="6"/>
                <c:pt idx="0">
                  <c:v>No </c:v>
                </c:pt>
                <c:pt idx="1">
                  <c:v>22%</c:v>
                </c:pt>
                <c:pt idx="2">
                  <c:v>21%</c:v>
                </c:pt>
                <c:pt idx="3">
                  <c:v>20%</c:v>
                </c:pt>
                <c:pt idx="4">
                  <c:v>30%</c:v>
                </c:pt>
                <c:pt idx="5">
                  <c:v>37%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Foglio1!$I$4:$I$5</c:f>
              <c:strCache>
                <c:ptCount val="2"/>
                <c:pt idx="0">
                  <c:v>2016/2017</c:v>
                </c:pt>
                <c:pt idx="1">
                  <c:v>85.29%</c:v>
                </c:pt>
              </c:strCache>
            </c:strRef>
          </c:cat>
          <c:val>
            <c:numRef>
              <c:f>Foglio1!$I$6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4968760"/>
        <c:axId val="334968368"/>
      </c:barChart>
      <c:catAx>
        <c:axId val="334968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4968368"/>
        <c:crosses val="autoZero"/>
        <c:auto val="1"/>
        <c:lblAlgn val="ctr"/>
        <c:lblOffset val="100"/>
        <c:noMultiLvlLbl val="0"/>
      </c:catAx>
      <c:valAx>
        <c:axId val="33496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4968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E892-2B37-4776-BECE-AB4829B2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2017-01-19T22:55:00Z</dcterms:created>
  <dcterms:modified xsi:type="dcterms:W3CDTF">2017-01-19T23:57:00Z</dcterms:modified>
</cp:coreProperties>
</file>