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27" w:rsidRDefault="00AD5DA9">
      <w:r w:rsidRPr="005B5B27">
        <w:rPr>
          <w:noProof/>
          <w:lang w:eastAsia="it-IT"/>
        </w:rPr>
        <w:drawing>
          <wp:inline distT="0" distB="0" distL="0" distR="0">
            <wp:extent cx="4933950" cy="3457575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GridTableLight"/>
        <w:tblpPr w:leftFromText="141" w:rightFromText="141" w:vertAnchor="text" w:horzAnchor="margin" w:tblpY="189"/>
        <w:tblOverlap w:val="never"/>
        <w:tblW w:w="4899" w:type="dxa"/>
        <w:tblLook w:val="04A0"/>
      </w:tblPr>
      <w:tblGrid>
        <w:gridCol w:w="2024"/>
        <w:gridCol w:w="1559"/>
        <w:gridCol w:w="1316"/>
      </w:tblGrid>
      <w:tr w:rsidR="00AD5DA9" w:rsidRPr="005B5B27" w:rsidTr="00AD5DA9">
        <w:trPr>
          <w:trHeight w:val="321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ANNO ACCADEMICO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% DI FEMMINE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% DI MASCHI</w:t>
            </w:r>
          </w:p>
        </w:tc>
      </w:tr>
      <w:tr w:rsidR="00AD5DA9" w:rsidRPr="005B5B27" w:rsidTr="00AD5DA9">
        <w:trPr>
          <w:trHeight w:val="321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2001/2002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85,8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14,2</w:t>
            </w:r>
          </w:p>
        </w:tc>
      </w:tr>
      <w:tr w:rsidR="00AD5DA9" w:rsidRPr="005B5B27" w:rsidTr="00AD5DA9">
        <w:trPr>
          <w:trHeight w:val="321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2002/2003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89,6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10,4</w:t>
            </w:r>
          </w:p>
        </w:tc>
      </w:tr>
      <w:tr w:rsidR="00AD5DA9" w:rsidRPr="005B5B27" w:rsidTr="00AD5DA9">
        <w:trPr>
          <w:trHeight w:val="321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2003/2004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89,6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10,4</w:t>
            </w:r>
          </w:p>
        </w:tc>
      </w:tr>
      <w:tr w:rsidR="00AD5DA9" w:rsidRPr="005B5B27" w:rsidTr="00AD5DA9">
        <w:trPr>
          <w:trHeight w:val="321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2004/2005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87,6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12,4</w:t>
            </w:r>
          </w:p>
        </w:tc>
      </w:tr>
      <w:tr w:rsidR="00AD5DA9" w:rsidRPr="005B5B27" w:rsidTr="00AD5DA9">
        <w:trPr>
          <w:trHeight w:val="321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2005/2006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91,6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8,4</w:t>
            </w:r>
          </w:p>
        </w:tc>
      </w:tr>
      <w:tr w:rsidR="00AD5DA9" w:rsidRPr="005B5B27" w:rsidTr="00AD5DA9">
        <w:trPr>
          <w:trHeight w:val="321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2006/2007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87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13</w:t>
            </w:r>
          </w:p>
        </w:tc>
      </w:tr>
      <w:tr w:rsidR="00AD5DA9" w:rsidRPr="005B5B27" w:rsidTr="00AD5DA9">
        <w:trPr>
          <w:trHeight w:val="321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2007/2008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94,1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5,9</w:t>
            </w:r>
          </w:p>
        </w:tc>
      </w:tr>
      <w:tr w:rsidR="00AD5DA9" w:rsidRPr="005B5B27" w:rsidTr="00AD5DA9">
        <w:trPr>
          <w:trHeight w:val="321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2008/2009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5</w:t>
            </w:r>
          </w:p>
        </w:tc>
      </w:tr>
      <w:tr w:rsidR="00AD5DA9" w:rsidRPr="005B5B27" w:rsidTr="00AD5DA9">
        <w:trPr>
          <w:trHeight w:val="321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2009/2010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4</w:t>
            </w:r>
          </w:p>
        </w:tc>
      </w:tr>
      <w:tr w:rsidR="00AD5DA9" w:rsidRPr="005B5B27" w:rsidTr="00AD5DA9">
        <w:trPr>
          <w:trHeight w:val="321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2010/2011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8</w:t>
            </w:r>
          </w:p>
        </w:tc>
      </w:tr>
      <w:tr w:rsidR="00AD5DA9" w:rsidRPr="005B5B27" w:rsidTr="00AD5DA9">
        <w:trPr>
          <w:trHeight w:val="321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2011/2012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95,7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4,3</w:t>
            </w:r>
          </w:p>
        </w:tc>
      </w:tr>
      <w:tr w:rsidR="00AD5DA9" w:rsidRPr="005B5B27" w:rsidTr="00AD5DA9">
        <w:trPr>
          <w:trHeight w:val="321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2012/2013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88,2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11,8</w:t>
            </w:r>
          </w:p>
        </w:tc>
      </w:tr>
      <w:tr w:rsidR="00AD5DA9" w:rsidRPr="005B5B27" w:rsidTr="00AD5DA9">
        <w:trPr>
          <w:trHeight w:val="321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2013/2014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7</w:t>
            </w:r>
          </w:p>
        </w:tc>
      </w:tr>
      <w:tr w:rsidR="00AD5DA9" w:rsidRPr="005B5B27" w:rsidTr="00AD5DA9">
        <w:trPr>
          <w:trHeight w:val="321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2014/2015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</w:tr>
      <w:tr w:rsidR="00AD5DA9" w:rsidRPr="005B5B27" w:rsidTr="00AD5DA9">
        <w:trPr>
          <w:trHeight w:val="321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2015/2016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96,3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3,7</w:t>
            </w:r>
          </w:p>
        </w:tc>
      </w:tr>
      <w:tr w:rsidR="00AD5DA9" w:rsidRPr="00070787" w:rsidTr="00AD5DA9">
        <w:trPr>
          <w:trHeight w:val="306"/>
        </w:trPr>
        <w:tc>
          <w:tcPr>
            <w:tcW w:w="2024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2016/2017</w:t>
            </w:r>
          </w:p>
        </w:tc>
        <w:tc>
          <w:tcPr>
            <w:tcW w:w="1559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89</w:t>
            </w:r>
          </w:p>
        </w:tc>
        <w:tc>
          <w:tcPr>
            <w:tcW w:w="1316" w:type="dxa"/>
            <w:noWrap/>
            <w:hideMark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  <w:r w:rsidRPr="005B5B27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  <w:t>11</w:t>
            </w:r>
          </w:p>
        </w:tc>
      </w:tr>
      <w:tr w:rsidR="00AD5DA9" w:rsidRPr="005B5B27" w:rsidTr="00AD5DA9">
        <w:trPr>
          <w:trHeight w:val="306"/>
        </w:trPr>
        <w:tc>
          <w:tcPr>
            <w:tcW w:w="2024" w:type="dxa"/>
            <w:noWrap/>
          </w:tcPr>
          <w:p w:rsidR="00AD5DA9" w:rsidRPr="005B5B27" w:rsidRDefault="00AD5DA9" w:rsidP="00AD5DA9">
            <w:pPr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noWrap/>
          </w:tcPr>
          <w:p w:rsidR="00AD5DA9" w:rsidRPr="005B5B27" w:rsidRDefault="00AD5DA9" w:rsidP="00AD5DA9">
            <w:pPr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16" w:type="dxa"/>
            <w:noWrap/>
          </w:tcPr>
          <w:p w:rsidR="00AD5DA9" w:rsidRPr="005B5B27" w:rsidRDefault="00AD5DA9" w:rsidP="00AD5DA9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B5B27" w:rsidRDefault="005B5B27"/>
    <w:p w:rsidR="005B5B27" w:rsidRDefault="005B5B27"/>
    <w:p w:rsidR="005B5B27" w:rsidRDefault="005B5B27"/>
    <w:p w:rsidR="00013D38" w:rsidRDefault="00013D38"/>
    <w:p w:rsidR="00013D38" w:rsidRPr="00013D38" w:rsidRDefault="00013D38" w:rsidP="00013D38"/>
    <w:p w:rsidR="00013D38" w:rsidRDefault="00013D38" w:rsidP="00013D3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013D38" w:rsidRDefault="00013D38" w:rsidP="00013D3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013D38" w:rsidRDefault="00013D38" w:rsidP="00013D3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013D38" w:rsidRDefault="00013D38" w:rsidP="00013D3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013D38" w:rsidRDefault="00013D38" w:rsidP="00013D3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013D38" w:rsidRDefault="00013D38" w:rsidP="00013D3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6A4743" w:rsidRDefault="006A4743" w:rsidP="00013D38">
      <w:pPr>
        <w:pStyle w:val="Pidipagina"/>
        <w:rPr>
          <w:rFonts w:ascii="Arial" w:hAnsi="Arial" w:cs="Arial"/>
          <w:sz w:val="24"/>
          <w:szCs w:val="24"/>
        </w:rPr>
      </w:pPr>
    </w:p>
    <w:p w:rsidR="006A4743" w:rsidRDefault="006A4743" w:rsidP="00013D38">
      <w:pPr>
        <w:pStyle w:val="Pidipagina"/>
        <w:rPr>
          <w:rFonts w:ascii="Arial" w:hAnsi="Arial" w:cs="Arial"/>
          <w:sz w:val="24"/>
          <w:szCs w:val="24"/>
        </w:rPr>
      </w:pPr>
    </w:p>
    <w:p w:rsidR="006A4743" w:rsidRDefault="006A4743" w:rsidP="00013D38">
      <w:pPr>
        <w:pStyle w:val="Pidipagina"/>
        <w:rPr>
          <w:rFonts w:ascii="Arial" w:hAnsi="Arial" w:cs="Arial"/>
          <w:sz w:val="24"/>
          <w:szCs w:val="24"/>
        </w:rPr>
      </w:pPr>
    </w:p>
    <w:p w:rsidR="006A4743" w:rsidRDefault="006A4743" w:rsidP="00013D38">
      <w:pPr>
        <w:pStyle w:val="Pidipagina"/>
        <w:rPr>
          <w:rFonts w:ascii="Arial" w:hAnsi="Arial" w:cs="Arial"/>
          <w:sz w:val="24"/>
          <w:szCs w:val="24"/>
        </w:rPr>
      </w:pPr>
    </w:p>
    <w:p w:rsidR="006A4743" w:rsidRDefault="006A4743" w:rsidP="00013D38">
      <w:pPr>
        <w:pStyle w:val="Pidipagina"/>
        <w:rPr>
          <w:rFonts w:ascii="Arial" w:hAnsi="Arial" w:cs="Arial"/>
          <w:sz w:val="24"/>
          <w:szCs w:val="24"/>
        </w:rPr>
      </w:pPr>
    </w:p>
    <w:p w:rsidR="006A4743" w:rsidRDefault="006A4743" w:rsidP="00013D38">
      <w:pPr>
        <w:pStyle w:val="Pidipagina"/>
        <w:rPr>
          <w:rFonts w:ascii="Arial" w:hAnsi="Arial" w:cs="Arial"/>
          <w:sz w:val="24"/>
          <w:szCs w:val="24"/>
        </w:rPr>
      </w:pPr>
    </w:p>
    <w:p w:rsidR="00013D38" w:rsidRPr="00CD0D9A" w:rsidRDefault="00013D38" w:rsidP="00013D38">
      <w:pPr>
        <w:pStyle w:val="Pidipagin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questo grafico si riscontra che l’89% degli studenti sono ragazze, mentre soltanto l’11% </w:t>
      </w:r>
      <w:r w:rsidR="00773E6B">
        <w:rPr>
          <w:rFonts w:ascii="Arial" w:hAnsi="Arial" w:cs="Arial"/>
          <w:sz w:val="24"/>
          <w:szCs w:val="24"/>
        </w:rPr>
        <w:t xml:space="preserve">ragazzi. Tuttavia si può </w:t>
      </w:r>
      <w:r w:rsidR="00D4721F">
        <w:rPr>
          <w:rFonts w:ascii="Arial" w:hAnsi="Arial" w:cs="Arial"/>
          <w:sz w:val="24"/>
          <w:szCs w:val="24"/>
        </w:rPr>
        <w:t>notare che negli ultimi 4 anni, la percentuale dei ragazzi è aumentata considerevolmente. In particolare, quest’anno tale percentuale è  aumentata di 6 punti percentuale (passando da</w:t>
      </w:r>
      <w:r w:rsidR="006E2773">
        <w:rPr>
          <w:rFonts w:ascii="Arial" w:hAnsi="Arial" w:cs="Arial"/>
          <w:sz w:val="24"/>
          <w:szCs w:val="24"/>
        </w:rPr>
        <w:t>l</w:t>
      </w:r>
      <w:r w:rsidR="00D4721F">
        <w:rPr>
          <w:rFonts w:ascii="Arial" w:hAnsi="Arial" w:cs="Arial"/>
          <w:sz w:val="24"/>
          <w:szCs w:val="24"/>
        </w:rPr>
        <w:t xml:space="preserve"> 3,7</w:t>
      </w:r>
      <w:r w:rsidR="006E2773">
        <w:rPr>
          <w:rFonts w:ascii="Arial" w:hAnsi="Arial" w:cs="Arial"/>
          <w:sz w:val="24"/>
          <w:szCs w:val="24"/>
        </w:rPr>
        <w:t>%</w:t>
      </w:r>
      <w:r w:rsidR="00D4721F">
        <w:rPr>
          <w:rFonts w:ascii="Arial" w:hAnsi="Arial" w:cs="Arial"/>
          <w:sz w:val="24"/>
          <w:szCs w:val="24"/>
        </w:rPr>
        <w:t xml:space="preserve"> a 11</w:t>
      </w:r>
      <w:r w:rsidR="006E2773">
        <w:rPr>
          <w:rFonts w:ascii="Arial" w:hAnsi="Arial" w:cs="Arial"/>
          <w:sz w:val="24"/>
          <w:szCs w:val="24"/>
        </w:rPr>
        <w:t>%</w:t>
      </w:r>
      <w:r w:rsidR="00D4721F">
        <w:rPr>
          <w:rFonts w:ascii="Arial" w:hAnsi="Arial" w:cs="Arial"/>
          <w:sz w:val="24"/>
          <w:szCs w:val="24"/>
        </w:rPr>
        <w:t>).</w:t>
      </w:r>
    </w:p>
    <w:p w:rsidR="005B5B27" w:rsidRPr="00E16268" w:rsidRDefault="005B5B27" w:rsidP="00E16268">
      <w:pPr>
        <w:tabs>
          <w:tab w:val="left" w:pos="1260"/>
        </w:tabs>
        <w:rPr>
          <w:rFonts w:ascii="Arial" w:hAnsi="Arial" w:cs="Arial"/>
        </w:rPr>
      </w:pPr>
    </w:p>
    <w:p w:rsidR="00787D78" w:rsidRDefault="00787D78">
      <w:r w:rsidRPr="00787D78">
        <w:rPr>
          <w:noProof/>
          <w:lang w:eastAsia="it-IT"/>
        </w:rPr>
        <w:drawing>
          <wp:inline distT="0" distB="0" distL="0" distR="0">
            <wp:extent cx="5048250" cy="3486150"/>
            <wp:effectExtent l="0" t="0" r="0" b="0"/>
            <wp:docPr id="3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7D78" w:rsidRDefault="00787D78"/>
    <w:p w:rsidR="00787D78" w:rsidRDefault="00787D78"/>
    <w:tbl>
      <w:tblPr>
        <w:tblStyle w:val="GridTableLight"/>
        <w:tblW w:w="5300" w:type="dxa"/>
        <w:tblLook w:val="04A0"/>
      </w:tblPr>
      <w:tblGrid>
        <w:gridCol w:w="2440"/>
        <w:gridCol w:w="1217"/>
        <w:gridCol w:w="1643"/>
      </w:tblGrid>
      <w:tr w:rsidR="00787D78" w:rsidRPr="00787D78" w:rsidTr="00013D38">
        <w:trPr>
          <w:trHeight w:val="315"/>
        </w:trPr>
        <w:tc>
          <w:tcPr>
            <w:tcW w:w="2440" w:type="dxa"/>
            <w:vMerge w:val="restart"/>
            <w:noWrap/>
            <w:hideMark/>
          </w:tcPr>
          <w:p w:rsidR="00787D78" w:rsidRPr="00787D78" w:rsidRDefault="00787D78" w:rsidP="00787D7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t>ANNO ACCADEMICO</w:t>
            </w:r>
          </w:p>
        </w:tc>
        <w:tc>
          <w:tcPr>
            <w:tcW w:w="2860" w:type="dxa"/>
            <w:gridSpan w:val="2"/>
            <w:noWrap/>
            <w:hideMark/>
          </w:tcPr>
          <w:p w:rsidR="00787D78" w:rsidRPr="00787D78" w:rsidRDefault="00787D78" w:rsidP="00787D7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t>Abiti a Roma?</w:t>
            </w:r>
          </w:p>
        </w:tc>
      </w:tr>
      <w:tr w:rsidR="00787D78" w:rsidRPr="00787D78" w:rsidTr="00013D38">
        <w:trPr>
          <w:trHeight w:val="315"/>
        </w:trPr>
        <w:tc>
          <w:tcPr>
            <w:tcW w:w="2440" w:type="dxa"/>
            <w:vMerge/>
            <w:hideMark/>
          </w:tcPr>
          <w:p w:rsidR="00787D78" w:rsidRPr="00787D78" w:rsidRDefault="00787D78" w:rsidP="00787D78">
            <w:pP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17" w:type="dxa"/>
            <w:noWrap/>
            <w:hideMark/>
          </w:tcPr>
          <w:p w:rsidR="00787D78" w:rsidRPr="00787D78" w:rsidRDefault="00787D78" w:rsidP="00787D7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t>% SÌ</w:t>
            </w:r>
          </w:p>
        </w:tc>
        <w:tc>
          <w:tcPr>
            <w:tcW w:w="1643" w:type="dxa"/>
            <w:noWrap/>
            <w:hideMark/>
          </w:tcPr>
          <w:p w:rsidR="00787D78" w:rsidRPr="00787D78" w:rsidRDefault="00787D78" w:rsidP="00787D7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t>% NO</w:t>
            </w:r>
          </w:p>
        </w:tc>
      </w:tr>
      <w:tr w:rsidR="00787D78" w:rsidRPr="00787D78" w:rsidTr="00013D38">
        <w:trPr>
          <w:trHeight w:val="315"/>
        </w:trPr>
        <w:tc>
          <w:tcPr>
            <w:tcW w:w="2440" w:type="dxa"/>
            <w:noWrap/>
            <w:hideMark/>
          </w:tcPr>
          <w:p w:rsidR="00787D78" w:rsidRPr="00787D78" w:rsidRDefault="00787D78" w:rsidP="00787D7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t>2008/2009</w:t>
            </w:r>
          </w:p>
        </w:tc>
        <w:tc>
          <w:tcPr>
            <w:tcW w:w="1217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noProof/>
                <w:color w:val="000000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1643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noProof/>
                <w:color w:val="000000"/>
                <w:sz w:val="20"/>
                <w:szCs w:val="20"/>
                <w:lang w:eastAsia="it-IT"/>
              </w:rPr>
              <w:t>39</w:t>
            </w:r>
          </w:p>
        </w:tc>
      </w:tr>
      <w:tr w:rsidR="00787D78" w:rsidRPr="00787D78" w:rsidTr="00013D38">
        <w:trPr>
          <w:trHeight w:val="315"/>
        </w:trPr>
        <w:tc>
          <w:tcPr>
            <w:tcW w:w="2440" w:type="dxa"/>
            <w:noWrap/>
            <w:hideMark/>
          </w:tcPr>
          <w:p w:rsidR="00787D78" w:rsidRPr="00787D78" w:rsidRDefault="00787D78" w:rsidP="00787D7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t>2009/2010</w:t>
            </w:r>
          </w:p>
        </w:tc>
        <w:tc>
          <w:tcPr>
            <w:tcW w:w="1217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noProof/>
                <w:color w:val="000000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1643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noProof/>
                <w:color w:val="000000"/>
                <w:sz w:val="20"/>
                <w:szCs w:val="20"/>
                <w:lang w:eastAsia="it-IT"/>
              </w:rPr>
              <w:t>31</w:t>
            </w:r>
          </w:p>
        </w:tc>
      </w:tr>
      <w:tr w:rsidR="00787D78" w:rsidRPr="00787D78" w:rsidTr="00013D38">
        <w:trPr>
          <w:trHeight w:val="315"/>
        </w:trPr>
        <w:tc>
          <w:tcPr>
            <w:tcW w:w="2440" w:type="dxa"/>
            <w:noWrap/>
            <w:hideMark/>
          </w:tcPr>
          <w:p w:rsidR="00787D78" w:rsidRPr="00787D78" w:rsidRDefault="00787D78" w:rsidP="00787D7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t>2010/2011</w:t>
            </w:r>
          </w:p>
        </w:tc>
        <w:tc>
          <w:tcPr>
            <w:tcW w:w="1217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noProof/>
                <w:color w:val="000000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643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noProof/>
                <w:color w:val="000000"/>
                <w:sz w:val="20"/>
                <w:szCs w:val="20"/>
                <w:lang w:eastAsia="it-IT"/>
              </w:rPr>
              <w:t>34</w:t>
            </w:r>
          </w:p>
        </w:tc>
      </w:tr>
      <w:tr w:rsidR="00787D78" w:rsidRPr="00787D78" w:rsidTr="00013D38">
        <w:trPr>
          <w:trHeight w:val="315"/>
        </w:trPr>
        <w:tc>
          <w:tcPr>
            <w:tcW w:w="2440" w:type="dxa"/>
            <w:noWrap/>
            <w:hideMark/>
          </w:tcPr>
          <w:p w:rsidR="00787D78" w:rsidRPr="00787D78" w:rsidRDefault="00787D78" w:rsidP="00787D7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t>2011/2012</w:t>
            </w:r>
          </w:p>
        </w:tc>
        <w:tc>
          <w:tcPr>
            <w:tcW w:w="1217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noProof/>
                <w:color w:val="000000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1643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noProof/>
                <w:color w:val="000000"/>
                <w:sz w:val="20"/>
                <w:szCs w:val="20"/>
                <w:lang w:eastAsia="it-IT"/>
              </w:rPr>
              <w:t>41</w:t>
            </w:r>
          </w:p>
        </w:tc>
      </w:tr>
      <w:tr w:rsidR="00787D78" w:rsidRPr="00787D78" w:rsidTr="00013D38">
        <w:trPr>
          <w:trHeight w:val="315"/>
        </w:trPr>
        <w:tc>
          <w:tcPr>
            <w:tcW w:w="2440" w:type="dxa"/>
            <w:noWrap/>
            <w:hideMark/>
          </w:tcPr>
          <w:p w:rsidR="00787D78" w:rsidRPr="00787D78" w:rsidRDefault="00787D78" w:rsidP="00787D7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t>2012/2013</w:t>
            </w:r>
          </w:p>
        </w:tc>
        <w:tc>
          <w:tcPr>
            <w:tcW w:w="1217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noProof/>
                <w:color w:val="000000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1643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noProof/>
                <w:color w:val="000000"/>
                <w:sz w:val="20"/>
                <w:szCs w:val="20"/>
                <w:lang w:eastAsia="it-IT"/>
              </w:rPr>
              <w:t>37</w:t>
            </w:r>
          </w:p>
        </w:tc>
      </w:tr>
      <w:tr w:rsidR="00787D78" w:rsidRPr="00787D78" w:rsidTr="00013D38">
        <w:trPr>
          <w:trHeight w:val="315"/>
        </w:trPr>
        <w:tc>
          <w:tcPr>
            <w:tcW w:w="2440" w:type="dxa"/>
            <w:noWrap/>
            <w:hideMark/>
          </w:tcPr>
          <w:p w:rsidR="00787D78" w:rsidRPr="00787D78" w:rsidRDefault="00787D78" w:rsidP="00787D7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t>2013/2014</w:t>
            </w:r>
          </w:p>
        </w:tc>
        <w:tc>
          <w:tcPr>
            <w:tcW w:w="1217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noProof/>
                <w:color w:val="000000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1643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noProof/>
                <w:color w:val="000000"/>
                <w:sz w:val="20"/>
                <w:szCs w:val="20"/>
                <w:lang w:eastAsia="it-IT"/>
              </w:rPr>
              <w:t>42</w:t>
            </w:r>
          </w:p>
        </w:tc>
      </w:tr>
      <w:tr w:rsidR="00787D78" w:rsidRPr="00787D78" w:rsidTr="00013D38">
        <w:trPr>
          <w:trHeight w:val="315"/>
        </w:trPr>
        <w:tc>
          <w:tcPr>
            <w:tcW w:w="2440" w:type="dxa"/>
            <w:noWrap/>
            <w:hideMark/>
          </w:tcPr>
          <w:p w:rsidR="00787D78" w:rsidRPr="00787D78" w:rsidRDefault="00787D78" w:rsidP="00787D7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t>2014/2015</w:t>
            </w:r>
          </w:p>
        </w:tc>
        <w:tc>
          <w:tcPr>
            <w:tcW w:w="1217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noProof/>
                <w:color w:val="000000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1643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noProof/>
                <w:color w:val="000000"/>
                <w:sz w:val="20"/>
                <w:szCs w:val="20"/>
                <w:lang w:eastAsia="it-IT"/>
              </w:rPr>
              <w:t>44</w:t>
            </w:r>
          </w:p>
        </w:tc>
      </w:tr>
      <w:tr w:rsidR="00787D78" w:rsidRPr="00787D78" w:rsidTr="00013D38">
        <w:trPr>
          <w:trHeight w:val="315"/>
        </w:trPr>
        <w:tc>
          <w:tcPr>
            <w:tcW w:w="2440" w:type="dxa"/>
            <w:noWrap/>
            <w:hideMark/>
          </w:tcPr>
          <w:p w:rsidR="00787D78" w:rsidRPr="00787D78" w:rsidRDefault="00787D78" w:rsidP="00787D7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  <w:t>2015/2016</w:t>
            </w:r>
          </w:p>
        </w:tc>
        <w:tc>
          <w:tcPr>
            <w:tcW w:w="1217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1643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33</w:t>
            </w:r>
          </w:p>
        </w:tc>
      </w:tr>
      <w:tr w:rsidR="00787D78" w:rsidRPr="00787D78" w:rsidTr="00013D38">
        <w:trPr>
          <w:trHeight w:val="315"/>
        </w:trPr>
        <w:tc>
          <w:tcPr>
            <w:tcW w:w="2440" w:type="dxa"/>
            <w:noWrap/>
            <w:hideMark/>
          </w:tcPr>
          <w:p w:rsidR="00787D78" w:rsidRPr="00787D78" w:rsidRDefault="00787D78" w:rsidP="00787D7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  <w:t>2016/2017</w:t>
            </w:r>
          </w:p>
        </w:tc>
        <w:tc>
          <w:tcPr>
            <w:tcW w:w="1217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643" w:type="dxa"/>
            <w:noWrap/>
            <w:hideMark/>
          </w:tcPr>
          <w:p w:rsidR="00787D78" w:rsidRPr="00787D78" w:rsidRDefault="00787D78" w:rsidP="00787D78">
            <w:pPr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87D7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34</w:t>
            </w:r>
          </w:p>
        </w:tc>
      </w:tr>
    </w:tbl>
    <w:p w:rsidR="00787D78" w:rsidRDefault="00787D78"/>
    <w:p w:rsidR="00AD5DA9" w:rsidRDefault="00AD5DA9">
      <w:pPr>
        <w:rPr>
          <w:rFonts w:ascii="Arial" w:hAnsi="Arial" w:cs="Arial"/>
          <w:sz w:val="24"/>
          <w:szCs w:val="24"/>
        </w:rPr>
      </w:pPr>
    </w:p>
    <w:p w:rsidR="00070787" w:rsidRDefault="00070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questo grafico si riscontra che il 66% degli studenti abita a Roma, mentre il restante 34% in zone differenti. L</w:t>
      </w:r>
      <w:r w:rsidR="00CD0D9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percentuale degli studenti residenti a Roma è rimasta presso</w:t>
      </w:r>
      <w:r w:rsidR="00CD0D9A">
        <w:rPr>
          <w:rFonts w:ascii="Arial" w:hAnsi="Arial" w:cs="Arial"/>
          <w:sz w:val="24"/>
          <w:szCs w:val="24"/>
        </w:rPr>
        <w:t>chè</w:t>
      </w:r>
      <w:r>
        <w:rPr>
          <w:rFonts w:ascii="Arial" w:hAnsi="Arial" w:cs="Arial"/>
          <w:sz w:val="24"/>
          <w:szCs w:val="24"/>
        </w:rPr>
        <w:t xml:space="preserve"> invariata </w:t>
      </w:r>
      <w:r w:rsidR="006E2773">
        <w:rPr>
          <w:rFonts w:ascii="Arial" w:hAnsi="Arial" w:cs="Arial"/>
          <w:sz w:val="24"/>
          <w:szCs w:val="24"/>
        </w:rPr>
        <w:t xml:space="preserve">rispetto agli </w:t>
      </w:r>
      <w:r>
        <w:rPr>
          <w:rFonts w:ascii="Arial" w:hAnsi="Arial" w:cs="Arial"/>
          <w:sz w:val="24"/>
          <w:szCs w:val="24"/>
        </w:rPr>
        <w:t>anni precedenti.</w:t>
      </w:r>
    </w:p>
    <w:p w:rsidR="00A51B6B" w:rsidRDefault="00A51B6B">
      <w:pPr>
        <w:rPr>
          <w:rFonts w:ascii="Arial" w:hAnsi="Arial" w:cs="Arial"/>
          <w:sz w:val="24"/>
          <w:szCs w:val="24"/>
        </w:rPr>
      </w:pPr>
    </w:p>
    <w:p w:rsidR="00A51B6B" w:rsidRDefault="00A51B6B">
      <w:pPr>
        <w:rPr>
          <w:rFonts w:ascii="Arial" w:hAnsi="Arial" w:cs="Arial"/>
          <w:sz w:val="24"/>
          <w:szCs w:val="24"/>
        </w:rPr>
      </w:pPr>
    </w:p>
    <w:p w:rsidR="00A51B6B" w:rsidRDefault="00231016">
      <w:pPr>
        <w:rPr>
          <w:rFonts w:ascii="Arial" w:hAnsi="Arial" w:cs="Arial"/>
          <w:sz w:val="24"/>
          <w:szCs w:val="24"/>
        </w:rPr>
      </w:pPr>
      <w:r w:rsidRPr="00231016">
        <w:rPr>
          <w:rFonts w:ascii="Arial" w:hAnsi="Arial" w:cs="Arial"/>
          <w:sz w:val="24"/>
          <w:szCs w:val="24"/>
        </w:rPr>
        <w:lastRenderedPageBreak/>
        <w:drawing>
          <wp:inline distT="0" distB="0" distL="0" distR="0">
            <wp:extent cx="6120130" cy="4162940"/>
            <wp:effectExtent l="19050" t="0" r="13970" b="9010"/>
            <wp:docPr id="5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1B6B" w:rsidRDefault="00A51B6B" w:rsidP="00A51B6B">
      <w:pPr>
        <w:rPr>
          <w:sz w:val="40"/>
          <w:szCs w:val="40"/>
        </w:rPr>
      </w:pPr>
    </w:p>
    <w:tbl>
      <w:tblPr>
        <w:tblW w:w="5050" w:type="pct"/>
        <w:tblCellMar>
          <w:left w:w="10" w:type="dxa"/>
          <w:right w:w="10" w:type="dxa"/>
        </w:tblCellMar>
        <w:tblLook w:val="04A0"/>
      </w:tblPr>
      <w:tblGrid>
        <w:gridCol w:w="968"/>
        <w:gridCol w:w="2166"/>
        <w:gridCol w:w="1336"/>
        <w:gridCol w:w="1336"/>
        <w:gridCol w:w="1350"/>
        <w:gridCol w:w="1350"/>
        <w:gridCol w:w="1348"/>
      </w:tblGrid>
      <w:tr w:rsidR="006E2773" w:rsidTr="006E2773"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73" w:rsidRDefault="006E2773">
            <w:pPr>
              <w:rPr>
                <w:b/>
                <w:noProof/>
                <w:lang w:eastAsia="it-IT"/>
              </w:rPr>
            </w:pPr>
            <w:r>
              <w:rPr>
                <w:b/>
                <w:noProof/>
                <w:lang w:eastAsia="it-IT"/>
              </w:rPr>
              <w:t>Scuola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73" w:rsidRDefault="006E2773">
            <w:pPr>
              <w:rPr>
                <w:b/>
                <w:noProof/>
                <w:lang w:eastAsia="it-IT"/>
              </w:rPr>
            </w:pPr>
            <w:r>
              <w:rPr>
                <w:b/>
                <w:noProof/>
                <w:lang w:eastAsia="it-IT"/>
              </w:rPr>
              <w:t>2012/2013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73" w:rsidRDefault="006E2773">
            <w:pPr>
              <w:rPr>
                <w:b/>
                <w:noProof/>
                <w:lang w:eastAsia="it-IT"/>
              </w:rPr>
            </w:pPr>
            <w:r>
              <w:rPr>
                <w:b/>
                <w:noProof/>
                <w:lang w:eastAsia="it-IT"/>
              </w:rPr>
              <w:t>2013/2014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73" w:rsidRDefault="006E2773">
            <w:pPr>
              <w:rPr>
                <w:b/>
                <w:noProof/>
                <w:lang w:eastAsia="it-IT"/>
              </w:rPr>
            </w:pPr>
            <w:r>
              <w:rPr>
                <w:b/>
                <w:noProof/>
                <w:lang w:eastAsia="it-IT"/>
              </w:rPr>
              <w:t>2014/2015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73" w:rsidRDefault="006E2773">
            <w:pPr>
              <w:rPr>
                <w:b/>
                <w:noProof/>
                <w:lang w:eastAsia="it-IT"/>
              </w:rPr>
            </w:pPr>
            <w:r>
              <w:rPr>
                <w:b/>
                <w:noProof/>
                <w:lang w:eastAsia="it-IT"/>
              </w:rPr>
              <w:t>2015/2016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73" w:rsidRDefault="006E2773">
            <w:pPr>
              <w:rPr>
                <w:b/>
                <w:noProof/>
                <w:lang w:eastAsia="it-IT"/>
              </w:rPr>
            </w:pPr>
            <w:r>
              <w:rPr>
                <w:b/>
                <w:noProof/>
                <w:lang w:eastAsia="it-IT"/>
              </w:rPr>
              <w:t>2016/2017</w:t>
            </w:r>
          </w:p>
        </w:tc>
      </w:tr>
      <w:tr w:rsidR="006E2773" w:rsidTr="006E2773"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Istituto Tecnico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10,5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9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13,73</w:t>
            </w:r>
          </w:p>
        </w:tc>
      </w:tr>
      <w:tr w:rsidR="006E2773" w:rsidTr="006E2773"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Istituto Professionale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-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5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-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7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15,69</w:t>
            </w:r>
          </w:p>
        </w:tc>
      </w:tr>
      <w:tr w:rsidR="006E2773" w:rsidTr="006E2773"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Altro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4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7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2,9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3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773" w:rsidRDefault="004D0B17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70,59</w:t>
            </w:r>
          </w:p>
        </w:tc>
      </w:tr>
      <w:tr w:rsidR="006E2773" w:rsidTr="006E2773"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Liceo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73" w:rsidRDefault="006E2773">
            <w:pPr>
              <w:rPr>
                <w:b/>
                <w:noProof/>
                <w:lang w:eastAsia="it-IT"/>
              </w:rPr>
            </w:pPr>
            <w:r>
              <w:rPr>
                <w:b/>
                <w:noProof/>
                <w:lang w:eastAsia="it-IT"/>
              </w:rPr>
              <w:t>80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73" w:rsidRDefault="006E2773">
            <w:pPr>
              <w:rPr>
                <w:b/>
                <w:noProof/>
                <w:lang w:eastAsia="it-IT"/>
              </w:rPr>
            </w:pPr>
            <w:r>
              <w:rPr>
                <w:b/>
                <w:noProof/>
                <w:lang w:eastAsia="it-IT"/>
              </w:rPr>
              <w:t>76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73" w:rsidRDefault="006E2773">
            <w:pPr>
              <w:rPr>
                <w:b/>
                <w:noProof/>
                <w:lang w:eastAsia="it-IT"/>
              </w:rPr>
            </w:pPr>
            <w:r>
              <w:rPr>
                <w:b/>
                <w:noProof/>
                <w:lang w:eastAsia="it-IT"/>
              </w:rPr>
              <w:t>69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73" w:rsidRDefault="006E2773">
            <w:pPr>
              <w:rPr>
                <w:b/>
                <w:noProof/>
                <w:lang w:eastAsia="it-IT"/>
              </w:rPr>
            </w:pPr>
            <w:r>
              <w:rPr>
                <w:b/>
                <w:noProof/>
                <w:lang w:eastAsia="it-IT"/>
              </w:rPr>
              <w:t>81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773" w:rsidRDefault="004D0B17">
            <w:pPr>
              <w:rPr>
                <w:b/>
                <w:noProof/>
                <w:lang w:eastAsia="it-IT"/>
              </w:rPr>
            </w:pPr>
            <w:r>
              <w:rPr>
                <w:b/>
                <w:noProof/>
                <w:lang w:eastAsia="it-IT"/>
              </w:rPr>
              <w:t>70,58</w:t>
            </w:r>
          </w:p>
        </w:tc>
      </w:tr>
      <w:tr w:rsidR="006E2773" w:rsidTr="006E2773">
        <w:tc>
          <w:tcPr>
            <w:tcW w:w="491" w:type="pct"/>
          </w:tcPr>
          <w:p w:rsidR="006E2773" w:rsidRDefault="006E2773">
            <w:pPr>
              <w:rPr>
                <w:noProof/>
                <w:lang w:eastAsia="it-IT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L. Classico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22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25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16,2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19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73" w:rsidRDefault="00231016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9,80</w:t>
            </w:r>
          </w:p>
        </w:tc>
      </w:tr>
      <w:tr w:rsidR="006E2773" w:rsidTr="006E2773">
        <w:tc>
          <w:tcPr>
            <w:tcW w:w="491" w:type="pct"/>
          </w:tcPr>
          <w:p w:rsidR="006E2773" w:rsidRDefault="006E2773">
            <w:pPr>
              <w:rPr>
                <w:noProof/>
                <w:lang w:eastAsia="it-IT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 w:rsidP="00231016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 xml:space="preserve">L. </w:t>
            </w:r>
            <w:r w:rsidR="00231016">
              <w:rPr>
                <w:noProof/>
                <w:lang w:eastAsia="it-IT"/>
              </w:rPr>
              <w:t>delle scienze umane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26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26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20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31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73" w:rsidRDefault="00231016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25,49</w:t>
            </w:r>
          </w:p>
        </w:tc>
      </w:tr>
      <w:tr w:rsidR="006E2773" w:rsidTr="006E2773">
        <w:tc>
          <w:tcPr>
            <w:tcW w:w="491" w:type="pct"/>
          </w:tcPr>
          <w:p w:rsidR="006E2773" w:rsidRDefault="006E2773">
            <w:pPr>
              <w:rPr>
                <w:noProof/>
                <w:lang w:eastAsia="it-IT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L. Scientifico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26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18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25,7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24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73" w:rsidRDefault="00231016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21,57</w:t>
            </w:r>
          </w:p>
        </w:tc>
      </w:tr>
      <w:tr w:rsidR="006E2773" w:rsidTr="006E2773">
        <w:tc>
          <w:tcPr>
            <w:tcW w:w="491" w:type="pct"/>
          </w:tcPr>
          <w:p w:rsidR="006E2773" w:rsidRDefault="006E2773">
            <w:pPr>
              <w:rPr>
                <w:noProof/>
                <w:lang w:eastAsia="it-IT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L. Linguistico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4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7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5,7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7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73" w:rsidRDefault="00443654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10,78</w:t>
            </w:r>
          </w:p>
        </w:tc>
      </w:tr>
      <w:tr w:rsidR="006E2773" w:rsidTr="006E2773">
        <w:tc>
          <w:tcPr>
            <w:tcW w:w="491" w:type="pct"/>
          </w:tcPr>
          <w:p w:rsidR="006E2773" w:rsidRDefault="006E2773">
            <w:pPr>
              <w:rPr>
                <w:noProof/>
                <w:lang w:eastAsia="it-IT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L. Artistico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-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73" w:rsidRDefault="006E277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-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73" w:rsidRDefault="00443654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2,94</w:t>
            </w:r>
          </w:p>
        </w:tc>
      </w:tr>
    </w:tbl>
    <w:p w:rsidR="00A51B6B" w:rsidRDefault="00A51B6B">
      <w:pPr>
        <w:rPr>
          <w:rFonts w:ascii="Arial" w:hAnsi="Arial" w:cs="Arial"/>
          <w:sz w:val="24"/>
          <w:szCs w:val="24"/>
        </w:rPr>
      </w:pPr>
    </w:p>
    <w:p w:rsidR="00443654" w:rsidRDefault="00443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dati riportati sono in percentuale.</w:t>
      </w:r>
    </w:p>
    <w:p w:rsidR="00A51B6B" w:rsidRPr="00443654" w:rsidRDefault="00A51B6B" w:rsidP="00A51B6B">
      <w:pPr>
        <w:ind w:firstLine="284"/>
        <w:jc w:val="both"/>
        <w:rPr>
          <w:rFonts w:ascii="Arial" w:eastAsia="Times New Roman" w:hAnsi="Arial" w:cs="Arial"/>
          <w:noProof/>
          <w:sz w:val="24"/>
          <w:szCs w:val="24"/>
          <w:lang w:eastAsia="it-IT"/>
        </w:rPr>
      </w:pPr>
      <w:r w:rsidRPr="00443654">
        <w:rPr>
          <w:rFonts w:ascii="Arial" w:hAnsi="Arial" w:cs="Arial"/>
          <w:sz w:val="24"/>
          <w:szCs w:val="24"/>
        </w:rPr>
        <w:lastRenderedPageBreak/>
        <w:t xml:space="preserve">Dal grafico preso in esame si nota come la maggior parte degli studenti, nell’a.a 2016/2017,abbia frequentato come scuola secondaria di II grado il liceo con una percentuale del 70%. </w:t>
      </w:r>
      <w:r w:rsidRPr="00443654">
        <w:rPr>
          <w:rFonts w:ascii="Arial" w:eastAsia="Times New Roman" w:hAnsi="Arial" w:cs="Arial"/>
          <w:noProof/>
          <w:sz w:val="24"/>
          <w:szCs w:val="24"/>
          <w:lang w:eastAsia="it-IT"/>
        </w:rPr>
        <w:t>La disaggregazione della percentuale di liceali rileva una prevalenza di studenti che provengono dall’indirizzo Psicopedagogico (31%), quindi da quello Scientifico (24%) e, subito dopo, quelli provenienti dal Liceo Classico (19%).</w:t>
      </w:r>
    </w:p>
    <w:p w:rsidR="00A51B6B" w:rsidRPr="00443654" w:rsidRDefault="00A51B6B" w:rsidP="00A51B6B">
      <w:pPr>
        <w:rPr>
          <w:rFonts w:ascii="Arial" w:hAnsi="Arial" w:cs="Arial"/>
          <w:sz w:val="24"/>
          <w:szCs w:val="24"/>
        </w:rPr>
      </w:pPr>
      <w:r w:rsidRPr="00443654">
        <w:rPr>
          <w:rFonts w:ascii="Arial" w:hAnsi="Arial" w:cs="Arial"/>
          <w:noProof/>
          <w:sz w:val="24"/>
          <w:szCs w:val="24"/>
        </w:rPr>
        <w:t>Dal confronto con gli anni passati, emerge la prevalenza del liceo in particolar modo dello scientifico e del socio- pedagogico.</w:t>
      </w:r>
    </w:p>
    <w:p w:rsidR="00A51B6B" w:rsidRPr="00070787" w:rsidRDefault="00A51B6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51B6B" w:rsidRPr="00070787" w:rsidSect="00023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8AD" w:rsidRDefault="00DE18AD" w:rsidP="00CD0D9A">
      <w:pPr>
        <w:spacing w:after="0" w:line="240" w:lineRule="auto"/>
      </w:pPr>
      <w:r>
        <w:separator/>
      </w:r>
    </w:p>
  </w:endnote>
  <w:endnote w:type="continuationSeparator" w:id="1">
    <w:p w:rsidR="00DE18AD" w:rsidRDefault="00DE18AD" w:rsidP="00CD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8AD" w:rsidRDefault="00DE18AD" w:rsidP="00CD0D9A">
      <w:pPr>
        <w:spacing w:after="0" w:line="240" w:lineRule="auto"/>
      </w:pPr>
      <w:r>
        <w:separator/>
      </w:r>
    </w:p>
  </w:footnote>
  <w:footnote w:type="continuationSeparator" w:id="1">
    <w:p w:rsidR="00DE18AD" w:rsidRDefault="00DE18AD" w:rsidP="00CD0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27761"/>
    <w:rsid w:val="00013D38"/>
    <w:rsid w:val="00023A9E"/>
    <w:rsid w:val="00070787"/>
    <w:rsid w:val="00231016"/>
    <w:rsid w:val="0030212A"/>
    <w:rsid w:val="00311D9E"/>
    <w:rsid w:val="00443654"/>
    <w:rsid w:val="004D0B17"/>
    <w:rsid w:val="004D7A6D"/>
    <w:rsid w:val="005B5B27"/>
    <w:rsid w:val="006A4743"/>
    <w:rsid w:val="006E2773"/>
    <w:rsid w:val="00773E6B"/>
    <w:rsid w:val="00787D78"/>
    <w:rsid w:val="008E4196"/>
    <w:rsid w:val="00952B56"/>
    <w:rsid w:val="00A51B6B"/>
    <w:rsid w:val="00AB2112"/>
    <w:rsid w:val="00AD5DA9"/>
    <w:rsid w:val="00CD0D9A"/>
    <w:rsid w:val="00CD6A57"/>
    <w:rsid w:val="00D4721F"/>
    <w:rsid w:val="00DE18AD"/>
    <w:rsid w:val="00E16268"/>
    <w:rsid w:val="00F27761"/>
    <w:rsid w:val="00FB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A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B27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070787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CD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D9A"/>
  </w:style>
  <w:style w:type="paragraph" w:styleId="Pidipagina">
    <w:name w:val="footer"/>
    <w:basedOn w:val="Normale"/>
    <w:link w:val="PidipaginaCarattere"/>
    <w:uiPriority w:val="99"/>
    <w:unhideWhenUsed/>
    <w:rsid w:val="00CD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D9A"/>
  </w:style>
  <w:style w:type="table" w:customStyle="1" w:styleId="GridTableLight">
    <w:name w:val="Grid Table Light"/>
    <w:basedOn w:val="Tabellanormale"/>
    <w:uiPriority w:val="40"/>
    <w:rsid w:val="00013D3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udente\Downloads\feedback%20102%20anonimi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udente\Downloads\feedback%20102%20anonimi%20(2)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tudente\Downloads\progetto%20Valeria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1"/>
  <c:pivotSource>
    <c:name>[feedback 102 anonimi (2).xlsx]Foglio2!Tabella_pivot1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Genere</a:t>
            </a:r>
          </a:p>
        </c:rich>
      </c:tx>
      <c:layout>
        <c:manualLayout>
          <c:xMode val="edge"/>
          <c:yMode val="edge"/>
          <c:x val="0.42212345078486835"/>
          <c:y val="0"/>
        </c:manualLayout>
      </c:layout>
    </c:title>
    <c:pivotFmts>
      <c:pivotFmt>
        <c:idx val="0"/>
        <c:dLbl>
          <c:idx val="0"/>
          <c:dLblPos val="outEnd"/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tx>
            <c:rich>
              <a:bodyPr/>
              <a:lstStyle/>
              <a:p>
                <a:r>
                  <a:rPr lang="en-US"/>
                  <a:t>
11%</a:t>
                </a:r>
              </a:p>
            </c:rich>
          </c:tx>
          <c:dLblPos val="outEnd"/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tx>
            <c:rich>
              <a:bodyPr/>
              <a:lstStyle/>
              <a:p>
                <a:r>
                  <a:rPr lang="en-US"/>
                  <a:t>89%</a:t>
                </a:r>
              </a:p>
            </c:rich>
          </c:tx>
          <c:dLblPos val="outEnd"/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dLblPos val="outEnd"/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tx>
            <c:rich>
              <a:bodyPr/>
              <a:lstStyle/>
              <a:p>
                <a:r>
                  <a:rPr lang="en-US"/>
                  <a:t>89%</a:t>
                </a:r>
              </a:p>
            </c:rich>
          </c:tx>
          <c:dLblPos val="outEnd"/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tx>
            <c:rich>
              <a:bodyPr/>
              <a:lstStyle/>
              <a:p>
                <a:r>
                  <a:rPr lang="en-US"/>
                  <a:t>
11%</a:t>
                </a:r>
              </a:p>
            </c:rich>
          </c:tx>
          <c:dLblPos val="outEnd"/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Foglio2!$B$3</c:f>
              <c:strCache>
                <c:ptCount val="1"/>
                <c:pt idx="0">
                  <c:v>Totale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89%</a:t>
                    </a:r>
                  </a:p>
                </c:rich>
              </c:tx>
              <c:dLblPos val="outEnd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7A9-4046-991D-F5A15C293F7F}"/>
                </c:ext>
              </c:extLst>
            </c:dLbl>
            <c:dLbl>
              <c:idx val="1"/>
              <c:layout>
                <c:manualLayout>
                  <c:x val="-5.1480051480051487E-3"/>
                  <c:y val="2.57116620752984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
11%</a:t>
                    </a:r>
                  </a:p>
                </c:rich>
              </c:tx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A9-4046-991D-F5A15C293F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it-IT"/>
              </a:p>
            </c:txPr>
            <c:dLblPos val="outEnd"/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Foglio2!$A$4:$A$6</c:f>
              <c:strCache>
                <c:ptCount val="2"/>
                <c:pt idx="0">
                  <c:v>F</c:v>
                </c:pt>
                <c:pt idx="1">
                  <c:v>M</c:v>
                </c:pt>
              </c:strCache>
            </c:strRef>
          </c:cat>
          <c:val>
            <c:numRef>
              <c:f>Foglio2!$B$4:$B$6</c:f>
              <c:numCache>
                <c:formatCode>General</c:formatCode>
                <c:ptCount val="2"/>
                <c:pt idx="0">
                  <c:v>91</c:v>
                </c:pt>
                <c:pt idx="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7A9-4046-991D-F5A15C293F7F}"/>
            </c:ext>
          </c:extLst>
        </c:ser>
        <c:dLbls>
          <c:showCatName val="1"/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45909018129490581"/>
          <c:y val="0.11202764943638251"/>
          <c:w val="5.5485158949725895E-2"/>
          <c:h val="7.9280131305900822E-2"/>
        </c:manualLayout>
      </c:layout>
      <c:overlay val="1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1"/>
  <c:pivotSource>
    <c:name>[feedback 102 anonimi (2).xlsx]Foglio3!Tabella_pivot2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it-IT"/>
              <a:t>Abiti a Roma drante l'anno accademico?</a:t>
            </a:r>
          </a:p>
        </c:rich>
      </c:tx>
      <c:layout>
        <c:manualLayout>
          <c:xMode val="edge"/>
          <c:yMode val="edge"/>
          <c:x val="0.10566651810033183"/>
          <c:y val="0"/>
        </c:manualLayout>
      </c:layout>
    </c:title>
    <c:pivotFmts>
      <c:pivotFmt>
        <c:idx val="0"/>
        <c:dLbl>
          <c:idx val="0"/>
          <c:dLblPos val="outEnd"/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tx>
            <c:rich>
              <a:bodyPr/>
              <a:lstStyle/>
              <a:p>
                <a:r>
                  <a:rPr lang="en-US"/>
                  <a:t>
34%</a:t>
                </a:r>
              </a:p>
            </c:rich>
          </c:tx>
          <c:dLblPos val="outEnd"/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tx>
            <c:rich>
              <a:bodyPr/>
              <a:lstStyle/>
              <a:p>
                <a:r>
                  <a:rPr lang="en-US"/>
                  <a:t>66%</a:t>
                </a:r>
              </a:p>
            </c:rich>
          </c:tx>
          <c:dLblPos val="outEnd"/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dLblPos val="outEnd"/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tx>
            <c:rich>
              <a:bodyPr/>
              <a:lstStyle/>
              <a:p>
                <a:r>
                  <a:rPr lang="en-US"/>
                  <a:t>
34%</a:t>
                </a:r>
              </a:p>
            </c:rich>
          </c:tx>
          <c:dLblPos val="outEnd"/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tx>
            <c:rich>
              <a:bodyPr/>
              <a:lstStyle/>
              <a:p>
                <a:r>
                  <a:rPr lang="en-US"/>
                  <a:t>66%</a:t>
                </a:r>
              </a:p>
            </c:rich>
          </c:tx>
          <c:dLblPos val="outEnd"/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Foglio3!$B$3</c:f>
              <c:strCache>
                <c:ptCount val="1"/>
                <c:pt idx="0">
                  <c:v>Totale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
34%</a:t>
                    </a:r>
                  </a:p>
                </c:rich>
              </c:tx>
              <c:dLblPos val="outEnd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EC-4271-A303-85DE245F82C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66%</a:t>
                    </a:r>
                  </a:p>
                </c:rich>
              </c:tx>
              <c:dLblPos val="outEnd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EC-4271-A303-85DE245F82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it-IT"/>
              </a:p>
            </c:txPr>
            <c:dLblPos val="outEnd"/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Foglio3!$A$4:$A$6</c:f>
              <c:strCache>
                <c:ptCount val="2"/>
                <c:pt idx="0">
                  <c:v>NO</c:v>
                </c:pt>
                <c:pt idx="1">
                  <c:v>SI</c:v>
                </c:pt>
              </c:strCache>
            </c:strRef>
          </c:cat>
          <c:val>
            <c:numRef>
              <c:f>Foglio3!$B$4:$B$6</c:f>
              <c:numCache>
                <c:formatCode>General</c:formatCode>
                <c:ptCount val="2"/>
                <c:pt idx="0">
                  <c:v>35</c:v>
                </c:pt>
                <c:pt idx="1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2EC-4271-A303-85DE245F82C8}"/>
            </c:ext>
          </c:extLst>
        </c:ser>
        <c:dLbls>
          <c:showCatName val="1"/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41620244639231418"/>
          <c:y val="8.3365603889677745E-2"/>
          <c:w val="7.0590006437874525E-2"/>
          <c:h val="0.10877207916578001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1"/>
  <c:pivotSource>
    <c:name>[progetto Valeria (1).xlsx]Foglio4!Tabella_pivot1</c:name>
    <c:fmtId val="3"/>
  </c:pivotSource>
  <c:chart>
    <c:autoTitleDeleted val="1"/>
    <c:pivotFmts>
      <c:pivotFmt>
        <c:idx val="0"/>
        <c:marker>
          <c:symbol val="none"/>
        </c:marker>
        <c:dLbl>
          <c:idx val="0"/>
          <c:layout>
            <c:manualLayout>
              <c:x val="-1.5347719504111491E-2"/>
              <c:y val="-1.7204748747269783E-2"/>
            </c:manualLayout>
          </c:layout>
          <c:dLblPos val="outEnd"/>
          <c:showVal val="1"/>
          <c:showCatName val="1"/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dLblPos val="outEnd"/>
          <c:showVal val="1"/>
          <c:showCatName val="1"/>
        </c:dLbl>
      </c:pivotFmt>
    </c:pivotFmts>
    <c:plotArea>
      <c:layout>
        <c:manualLayout>
          <c:layoutTarget val="inner"/>
          <c:xMode val="edge"/>
          <c:yMode val="edge"/>
          <c:x val="9.1942671203954329E-2"/>
          <c:y val="9.9775892580161576E-2"/>
          <c:w val="0.72114915747666575"/>
          <c:h val="0.70582458028965533"/>
        </c:manualLayout>
      </c:layout>
      <c:ofPieChart>
        <c:ofPieType val="bar"/>
        <c:varyColors val="1"/>
        <c:ser>
          <c:idx val="0"/>
          <c:order val="0"/>
          <c:tx>
            <c:strRef>
              <c:f>Foglio4!$B$3</c:f>
              <c:strCache>
                <c:ptCount val="1"/>
                <c:pt idx="0">
                  <c:v>Totale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it-IT"/>
              </a:p>
            </c:txPr>
            <c:dLblPos val="outEnd"/>
            <c:showVal val="1"/>
            <c:showCatName val="1"/>
            <c:showLeaderLines val="1"/>
          </c:dLbls>
          <c:cat>
            <c:strRef>
              <c:f>Foglio4!$A$4:$A$11</c:f>
              <c:strCache>
                <c:ptCount val="7"/>
                <c:pt idx="0">
                  <c:v>Istituto professionale</c:v>
                </c:pt>
                <c:pt idx="1">
                  <c:v>Istituto tecnico</c:v>
                </c:pt>
                <c:pt idx="2">
                  <c:v>Liceo Artistico</c:v>
                </c:pt>
                <c:pt idx="3">
                  <c:v>Liceo classico</c:v>
                </c:pt>
                <c:pt idx="4">
                  <c:v>Liceo delle scienze umane</c:v>
                </c:pt>
                <c:pt idx="5">
                  <c:v>Liceo linguistico</c:v>
                </c:pt>
                <c:pt idx="6">
                  <c:v>Liceo scientifico</c:v>
                </c:pt>
              </c:strCache>
            </c:strRef>
          </c:cat>
          <c:val>
            <c:numRef>
              <c:f>Foglio4!$B$4:$B$11</c:f>
              <c:numCache>
                <c:formatCode>0.00%</c:formatCode>
                <c:ptCount val="7"/>
                <c:pt idx="0">
                  <c:v>0.15686274509803921</c:v>
                </c:pt>
                <c:pt idx="1">
                  <c:v>0.13725490196078433</c:v>
                </c:pt>
                <c:pt idx="2">
                  <c:v>2.9411764705882353E-2</c:v>
                </c:pt>
                <c:pt idx="3">
                  <c:v>9.8039215686274508E-2</c:v>
                </c:pt>
                <c:pt idx="4">
                  <c:v>0.25490196078431376</c:v>
                </c:pt>
                <c:pt idx="5">
                  <c:v>0.10784313725490198</c:v>
                </c:pt>
                <c:pt idx="6">
                  <c:v>0.21568627450980393</c:v>
                </c:pt>
              </c:numCache>
            </c:numRef>
          </c:val>
        </c:ser>
        <c:dLbls>
          <c:showVal val="1"/>
        </c:dLbls>
        <c:gapWidth val="100"/>
        <c:splitType val="pos"/>
        <c:splitPos val="5"/>
        <c:secondPieSize val="75"/>
        <c:serLines/>
      </c:ofPieChart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0.21136</cdr:x>
      <cdr:y>0.07097</cdr:y>
    </cdr:from>
    <cdr:to>
      <cdr:x>0.84227</cdr:x>
      <cdr:y>0.22151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1276350" y="314326"/>
          <a:ext cx="3810000" cy="666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it-IT" sz="1100"/>
        </a:p>
      </cdr:txBody>
    </cdr:sp>
  </cdr:relSizeAnchor>
  <cdr:relSizeAnchor xmlns:cdr="http://schemas.openxmlformats.org/drawingml/2006/chartDrawing">
    <cdr:from>
      <cdr:x>0.06625</cdr:x>
      <cdr:y>0.01935</cdr:y>
    </cdr:from>
    <cdr:to>
      <cdr:x>0.98738</cdr:x>
      <cdr:y>0.16344</cdr:y>
    </cdr:to>
    <cdr:sp macro="" textlink="">
      <cdr:nvSpPr>
        <cdr:cNvPr id="3" name="CasellaDiTesto 2"/>
        <cdr:cNvSpPr txBox="1"/>
      </cdr:nvSpPr>
      <cdr:spPr>
        <a:xfrm xmlns:a="http://schemas.openxmlformats.org/drawingml/2006/main">
          <a:off x="400068" y="85710"/>
          <a:ext cx="5562566" cy="6381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it-IT" sz="2000"/>
            <a:t>Scuole Secondarie, grado di provenienza</a:t>
          </a: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6D87-DFEE-403E-B02A-4EBC783F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2</cp:revision>
  <dcterms:created xsi:type="dcterms:W3CDTF">2017-01-16T15:39:00Z</dcterms:created>
  <dcterms:modified xsi:type="dcterms:W3CDTF">2017-01-16T15:39:00Z</dcterms:modified>
</cp:coreProperties>
</file>