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18" w:type="dxa"/>
        <w:tblLook w:val="04A0"/>
      </w:tblPr>
      <w:tblGrid>
        <w:gridCol w:w="1734"/>
        <w:gridCol w:w="7005"/>
        <w:gridCol w:w="1179"/>
      </w:tblGrid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Minuti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>
            <w:r w:rsidRPr="00814646">
              <w:t xml:space="preserve"> In quanto tempo raggiungi l'Università da casa? (%)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Studenti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5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0,98%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9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0,98%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10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0,98%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15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5,88%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6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20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3,92%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4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30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6,86%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7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35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0,98%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40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4,90%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5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45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1,96%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2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50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7,84%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8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60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14,71%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15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70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1,96%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2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80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5,88%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6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85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0,98%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90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17,65%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18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100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4,90%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5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110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1,96%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2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120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15,69%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16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150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0,98%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</w:t>
            </w:r>
          </w:p>
        </w:tc>
      </w:tr>
      <w:tr w:rsidR="00814646" w:rsidRPr="00814646" w:rsidTr="00814646">
        <w:trPr>
          <w:trHeight w:val="300"/>
        </w:trPr>
        <w:tc>
          <w:tcPr>
            <w:tcW w:w="1734" w:type="dxa"/>
            <w:noWrap/>
            <w:hideMark/>
          </w:tcPr>
          <w:p w:rsidR="00814646" w:rsidRPr="00814646" w:rsidRDefault="00814646">
            <w:r w:rsidRPr="00814646">
              <w:t>Totale complessivo</w:t>
            </w:r>
          </w:p>
        </w:tc>
        <w:tc>
          <w:tcPr>
            <w:tcW w:w="7005" w:type="dxa"/>
            <w:noWrap/>
            <w:hideMark/>
          </w:tcPr>
          <w:p w:rsidR="00814646" w:rsidRPr="00814646" w:rsidRDefault="00814646" w:rsidP="00814646">
            <w:r w:rsidRPr="00814646">
              <w:t>100,00%</w:t>
            </w:r>
          </w:p>
        </w:tc>
        <w:tc>
          <w:tcPr>
            <w:tcW w:w="1179" w:type="dxa"/>
            <w:noWrap/>
            <w:hideMark/>
          </w:tcPr>
          <w:p w:rsidR="00814646" w:rsidRPr="00814646" w:rsidRDefault="00814646">
            <w:r w:rsidRPr="00814646">
              <w:t>102</w:t>
            </w:r>
          </w:p>
        </w:tc>
      </w:tr>
    </w:tbl>
    <w:p w:rsidR="00F03D13" w:rsidRDefault="00F03D13"/>
    <w:p w:rsidR="005A2DC4" w:rsidRDefault="005A2DC4"/>
    <w:p w:rsidR="005A2DC4" w:rsidRDefault="005A2DC4">
      <w:commentRangeStart w:id="0"/>
      <w:commentRangeStart w:id="1"/>
      <w:r>
        <w:rPr>
          <w:noProof/>
          <w:lang w:eastAsia="it-IT"/>
        </w:rPr>
        <w:drawing>
          <wp:inline distT="0" distB="0" distL="0" distR="0">
            <wp:extent cx="6120130" cy="3802380"/>
            <wp:effectExtent l="19050" t="0" r="13970" b="762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commentRangeEnd w:id="0"/>
      <w:commentRangeEnd w:id="1"/>
      <w:r w:rsidR="00DD5161">
        <w:rPr>
          <w:rStyle w:val="Rimandocommento"/>
        </w:rPr>
        <w:commentReference w:id="1"/>
      </w:r>
      <w:r w:rsidR="00DD5161">
        <w:rPr>
          <w:rStyle w:val="Rimandocommento"/>
        </w:rPr>
        <w:commentReference w:id="0"/>
      </w:r>
    </w:p>
    <w:p w:rsidR="00F0411E" w:rsidRDefault="00F0411E">
      <w:commentRangeStart w:id="2"/>
      <w:r>
        <w:lastRenderedPageBreak/>
        <w:t>Nel questionario matricole dell’anno 2016/2017 è stato chiesto in quanti minuti</w:t>
      </w:r>
      <w:r w:rsidR="003B1D71">
        <w:t xml:space="preserve"> gli studenti</w:t>
      </w:r>
      <w:r>
        <w:t xml:space="preserve"> raggiungono l’università. Le sedi prese in questione sono Villa </w:t>
      </w:r>
      <w:proofErr w:type="spellStart"/>
      <w:r>
        <w:t>Mirafiore</w:t>
      </w:r>
      <w:proofErr w:type="spellEnd"/>
      <w:r>
        <w:t xml:space="preserve"> e la sede </w:t>
      </w:r>
      <w:proofErr w:type="spellStart"/>
      <w:r>
        <w:t>Ex-poste</w:t>
      </w:r>
      <w:proofErr w:type="spellEnd"/>
      <w:r>
        <w:t xml:space="preserve"> nel quartiere di San Lorenzo.  Il tempo varia a seconda della residenza degli studenti e dei mezzi di trasporto che utilizzano per raggiungerla.</w:t>
      </w:r>
      <w:r w:rsidR="005538F2">
        <w:t xml:space="preserve"> La </w:t>
      </w:r>
      <w:r w:rsidR="00531DCD">
        <w:t>percentuale più alta è 17,65%</w:t>
      </w:r>
      <w:r w:rsidR="005538F2">
        <w:t>,tale percentuale segnala che la maggior parte degli studenti impiega circa 90 minuti per raggiungere l’università.</w:t>
      </w:r>
      <w:r w:rsidR="00531DCD">
        <w:t xml:space="preserve"> La seconda percentuale più alta (14,71%)afferma che c</w:t>
      </w:r>
      <w:r w:rsidR="00002D73">
        <w:t>irca 15 studenti impiegano</w:t>
      </w:r>
      <w:r w:rsidR="00531DCD">
        <w:t xml:space="preserve"> 60 minuti. Seguono queste percentuale più alte, percentuali di mezzo</w:t>
      </w:r>
      <w:r w:rsidR="00002D73">
        <w:t>,</w:t>
      </w:r>
      <w:r w:rsidR="00531DCD">
        <w:t xml:space="preserve">come 7,84%,6,86% e 5,88%. La </w:t>
      </w:r>
      <w:r w:rsidR="00002D73">
        <w:t>percentuale più bassa è 0,98% e segna sia il percorso più rapido da casa all’università (5 minuti)</w:t>
      </w:r>
      <w:r w:rsidR="003B1D71">
        <w:t xml:space="preserve"> sia quella più lungo</w:t>
      </w:r>
      <w:bookmarkStart w:id="3" w:name="_GoBack"/>
      <w:bookmarkEnd w:id="3"/>
      <w:r w:rsidR="003B1D71">
        <w:t xml:space="preserve"> (</w:t>
      </w:r>
      <w:r w:rsidR="00002D73">
        <w:t>150 minuti).</w:t>
      </w:r>
      <w:commentRangeEnd w:id="2"/>
      <w:r w:rsidR="00DD5161">
        <w:rPr>
          <w:rStyle w:val="Rimandocommento"/>
        </w:rPr>
        <w:commentReference w:id="2"/>
      </w:r>
    </w:p>
    <w:sectPr w:rsidR="00F0411E" w:rsidSect="00605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k" w:date="2017-01-09T14:21:00Z" w:initials="l">
    <w:p w:rsidR="00DD5161" w:rsidRDefault="00DD5161">
      <w:pPr>
        <w:pStyle w:val="Testocommento"/>
      </w:pPr>
      <w:r>
        <w:rPr>
          <w:rStyle w:val="Rimandocommento"/>
        </w:rPr>
        <w:annotationRef/>
      </w:r>
      <w:r>
        <w:t>Fare confronto con anni precedenti (ricontrollare anni prima)</w:t>
      </w:r>
    </w:p>
  </w:comment>
  <w:comment w:id="0" w:author="lk" w:date="2017-01-09T14:21:00Z" w:initials="l">
    <w:p w:rsidR="00DD5161" w:rsidRDefault="00DD5161">
      <w:pPr>
        <w:pStyle w:val="Testocommento"/>
      </w:pPr>
      <w:r>
        <w:rPr>
          <w:rStyle w:val="Rimandocommento"/>
        </w:rPr>
        <w:annotationRef/>
      </w:r>
      <w:r>
        <w:t xml:space="preserve">Rifare grafico e dividere in fasce </w:t>
      </w:r>
    </w:p>
  </w:comment>
  <w:comment w:id="2" w:author="lk" w:date="2017-01-09T14:21:00Z" w:initials="l">
    <w:p w:rsidR="00DD5161" w:rsidRDefault="00DD5161">
      <w:pPr>
        <w:pStyle w:val="Testocommento"/>
      </w:pPr>
      <w:r>
        <w:rPr>
          <w:rStyle w:val="Rimandocommento"/>
        </w:rPr>
        <w:annotationRef/>
      </w:r>
      <w:r>
        <w:t>Rivedere testo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A2DC4"/>
    <w:rsid w:val="00002D73"/>
    <w:rsid w:val="003B1D71"/>
    <w:rsid w:val="00531DCD"/>
    <w:rsid w:val="005538F2"/>
    <w:rsid w:val="005A2DC4"/>
    <w:rsid w:val="00605A43"/>
    <w:rsid w:val="00814646"/>
    <w:rsid w:val="00BF3704"/>
    <w:rsid w:val="00DD5161"/>
    <w:rsid w:val="00F03D13"/>
    <w:rsid w:val="00F0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16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D51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51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51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51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5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1"/>
  <c:pivotSource>
    <c:name>[questionario matricole 2016.xlsx]Foglio1!Tabella_pivot1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In quanto tempo raggiungi l'Università da casa?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1275938583003956"/>
          <c:y val="2.004008016032064E-2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solidFill>
            <a:schemeClr val="dk1">
              <a:tint val="885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outEnd"/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dk1">
              <a:tint val="88500"/>
            </a:schemeClr>
          </a:solidFill>
          <a:ln>
            <a:noFill/>
          </a:ln>
          <a:effectLst/>
        </c:spPr>
      </c:pivotFmt>
      <c:pivotFmt>
        <c:idx val="2"/>
        <c:spPr>
          <a:solidFill>
            <a:schemeClr val="dk1">
              <a:tint val="88500"/>
            </a:schemeClr>
          </a:solidFill>
          <a:ln>
            <a:noFill/>
          </a:ln>
          <a:effectLst/>
        </c:spPr>
      </c:pivotFmt>
      <c:pivotFmt>
        <c:idx val="3"/>
        <c:spPr>
          <a:solidFill>
            <a:schemeClr val="dk1">
              <a:tint val="88500"/>
            </a:schemeClr>
          </a:solidFill>
          <a:ln>
            <a:noFill/>
          </a:ln>
          <a:effectLst/>
        </c:spPr>
      </c:pivotFmt>
      <c:pivotFmt>
        <c:idx val="4"/>
        <c:spPr>
          <a:solidFill>
            <a:schemeClr val="dk1">
              <a:tint val="885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outEnd"/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dk1">
              <a:tint val="885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-540000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outEnd"/>
          <c:showVal val="1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0837602799650049"/>
          <c:y val="0.20681779081906887"/>
          <c:w val="0.88273508311461069"/>
          <c:h val="0.60326597430518991"/>
        </c:manualLayout>
      </c:layout>
      <c:barChart>
        <c:barDir val="col"/>
        <c:grouping val="clustered"/>
        <c:ser>
          <c:idx val="0"/>
          <c:order val="0"/>
          <c:tx>
            <c:strRef>
              <c:f>Foglio1!$B$3</c:f>
              <c:strCache>
                <c:ptCount val="1"/>
                <c:pt idx="0">
                  <c:v>Totale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Foglio1!$A$4:$A$23</c:f>
              <c:strCache>
                <c:ptCount val="19"/>
                <c:pt idx="0">
                  <c:v>5</c:v>
                </c:pt>
                <c:pt idx="1">
                  <c:v>9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60</c:v>
                </c:pt>
                <c:pt idx="11">
                  <c:v>70</c:v>
                </c:pt>
                <c:pt idx="12">
                  <c:v>80</c:v>
                </c:pt>
                <c:pt idx="13">
                  <c:v>85</c:v>
                </c:pt>
                <c:pt idx="14">
                  <c:v>90</c:v>
                </c:pt>
                <c:pt idx="15">
                  <c:v>100</c:v>
                </c:pt>
                <c:pt idx="16">
                  <c:v>110</c:v>
                </c:pt>
                <c:pt idx="17">
                  <c:v>120</c:v>
                </c:pt>
                <c:pt idx="18">
                  <c:v>150</c:v>
                </c:pt>
              </c:strCache>
            </c:strRef>
          </c:cat>
          <c:val>
            <c:numRef>
              <c:f>Foglio1!$B$4:$B$23</c:f>
              <c:numCache>
                <c:formatCode>0.00%</c:formatCode>
                <c:ptCount val="19"/>
                <c:pt idx="0">
                  <c:v>9.8039215686274508E-3</c:v>
                </c:pt>
                <c:pt idx="1">
                  <c:v>9.8039215686274508E-3</c:v>
                </c:pt>
                <c:pt idx="2">
                  <c:v>9.8039215686274508E-3</c:v>
                </c:pt>
                <c:pt idx="3">
                  <c:v>5.8823529411764705E-2</c:v>
                </c:pt>
                <c:pt idx="4">
                  <c:v>3.9215686274509803E-2</c:v>
                </c:pt>
                <c:pt idx="5">
                  <c:v>6.8627450980392163E-2</c:v>
                </c:pt>
                <c:pt idx="6">
                  <c:v>9.8039215686274508E-3</c:v>
                </c:pt>
                <c:pt idx="7">
                  <c:v>4.901960784313731E-2</c:v>
                </c:pt>
                <c:pt idx="8">
                  <c:v>1.9607843137254902E-2</c:v>
                </c:pt>
                <c:pt idx="9">
                  <c:v>7.8431372549019607E-2</c:v>
                </c:pt>
                <c:pt idx="10">
                  <c:v>0.14705882352941183</c:v>
                </c:pt>
                <c:pt idx="11">
                  <c:v>1.9607843137254902E-2</c:v>
                </c:pt>
                <c:pt idx="12">
                  <c:v>5.8823529411764705E-2</c:v>
                </c:pt>
                <c:pt idx="13">
                  <c:v>9.8039215686274508E-3</c:v>
                </c:pt>
                <c:pt idx="14">
                  <c:v>0.17647058823529418</c:v>
                </c:pt>
                <c:pt idx="15">
                  <c:v>4.901960784313731E-2</c:v>
                </c:pt>
                <c:pt idx="16">
                  <c:v>1.9607843137254902E-2</c:v>
                </c:pt>
                <c:pt idx="17">
                  <c:v>0.15686274509803921</c:v>
                </c:pt>
                <c:pt idx="18">
                  <c:v>9.8039215686274508E-3</c:v>
                </c:pt>
              </c:numCache>
            </c:numRef>
          </c:val>
        </c:ser>
        <c:dLbls>
          <c:showVal val="1"/>
        </c:dLbls>
        <c:gapWidth val="444"/>
        <c:overlap val="-90"/>
        <c:axId val="149883520"/>
        <c:axId val="149885312"/>
      </c:barChart>
      <c:catAx>
        <c:axId val="14988352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885312"/>
        <c:crosses val="autoZero"/>
        <c:auto val="1"/>
        <c:lblAlgn val="ctr"/>
        <c:lblOffset val="100"/>
      </c:catAx>
      <c:valAx>
        <c:axId val="149885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88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lk</cp:lastModifiedBy>
  <cp:revision>2</cp:revision>
  <dcterms:created xsi:type="dcterms:W3CDTF">2017-01-09T13:26:00Z</dcterms:created>
  <dcterms:modified xsi:type="dcterms:W3CDTF">2017-01-09T13:26:00Z</dcterms:modified>
</cp:coreProperties>
</file>