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A3" w:rsidRPr="00231A20" w:rsidRDefault="00231A20" w:rsidP="00231A20">
      <w:pPr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b/>
          <w:bCs/>
          <w:sz w:val="23"/>
          <w:szCs w:val="23"/>
          <w:lang w:val="en-US"/>
        </w:rPr>
        <w:t>Gratitude versus Entitlement: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b/>
          <w:bCs/>
          <w:sz w:val="23"/>
          <w:szCs w:val="23"/>
          <w:lang w:val="en-US"/>
        </w:rPr>
        <w:t>A Dual Process Model of the Profitability Implications of Customer Prioritization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b/>
          <w:bCs/>
          <w:sz w:val="23"/>
          <w:szCs w:val="23"/>
          <w:lang w:val="en-US"/>
        </w:rPr>
        <w:t>Abstract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Customer prioritization strategies – which focus a firm’s efforts on the most important customers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– are expected to improve account profitability. Anecdotal evidence suggests, however, that such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strategies may also undermine account profitability by inducing customers to become overly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demanding. Building on Social Exchange Theory, this research evaluates these competing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 xml:space="preserve">perspectives across two field studies and finds that prioritization is best understood as a </w:t>
      </w:r>
      <w:proofErr w:type="spellStart"/>
      <w:r w:rsidRPr="00231A20">
        <w:rPr>
          <w:rFonts w:ascii="Times New Roman" w:hAnsi="Times New Roman" w:cs="Times New Roman"/>
          <w:sz w:val="23"/>
          <w:szCs w:val="23"/>
          <w:lang w:val="en-US"/>
        </w:rPr>
        <w:t>doubleedged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 xml:space="preserve">sword. Specifically, the results reveal that prioritization efforts initiate both a </w:t>
      </w:r>
      <w:proofErr w:type="spellStart"/>
      <w:r w:rsidRPr="00231A20">
        <w:rPr>
          <w:rFonts w:ascii="Times New Roman" w:hAnsi="Times New Roman" w:cs="Times New Roman"/>
          <w:sz w:val="23"/>
          <w:szCs w:val="23"/>
          <w:lang w:val="en-US"/>
        </w:rPr>
        <w:t>gratitudedriven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 xml:space="preserve">process, which enhances sales and profit, </w:t>
      </w:r>
      <w:r w:rsidRPr="00231A20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and </w:t>
      </w:r>
      <w:r w:rsidRPr="00231A20">
        <w:rPr>
          <w:rFonts w:ascii="Times New Roman" w:hAnsi="Times New Roman" w:cs="Times New Roman"/>
          <w:sz w:val="23"/>
          <w:szCs w:val="23"/>
          <w:lang w:val="en-US"/>
        </w:rPr>
        <w:t>an entitlement-driven process, which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increases service costs and reduces profit. Importantly, the findings indicate that prioritization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tactics differ in the extent to which they trigger these competing processes and thus in their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ability to influence account profitability. Finally, the results also reveal that critical moderators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(competitive intensity and prioritization transparency) determine the extent to which the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entitlement-driven process undermines the gratitude-driven process. For managers, the findings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suggest that depending on the tactics employed and moderating conditions, prioritization can</w:t>
      </w:r>
    </w:p>
    <w:p w:rsidR="00231A20" w:rsidRDefault="00231A20" w:rsidP="00231A20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31A20">
        <w:rPr>
          <w:rFonts w:ascii="Times New Roman" w:hAnsi="Times New Roman" w:cs="Times New Roman"/>
          <w:sz w:val="23"/>
          <w:szCs w:val="23"/>
          <w:lang w:val="en-US"/>
        </w:rPr>
        <w:t>either have a positive, no, or even a negative effect on prioritized accounts’ profitability.</w:t>
      </w:r>
    </w:p>
    <w:p w:rsidR="00231A20" w:rsidRDefault="00231A20" w:rsidP="00231A20">
      <w:pPr>
        <w:rPr>
          <w:rFonts w:ascii="Times New Roman" w:hAnsi="Times New Roman" w:cs="Times New Roman"/>
          <w:sz w:val="23"/>
          <w:szCs w:val="23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60"/>
          <w:szCs w:val="60"/>
          <w:lang w:val="en-US"/>
        </w:rPr>
      </w:pPr>
      <w:r w:rsidRPr="00231A20">
        <w:rPr>
          <w:rFonts w:ascii="Helvetica-Bold" w:hAnsi="Helvetica-Bold" w:cs="Helvetica-Bold"/>
          <w:b/>
          <w:bCs/>
          <w:sz w:val="60"/>
          <w:szCs w:val="60"/>
          <w:lang w:val="en-US"/>
        </w:rPr>
        <w:t>Reexamining the Market Share–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60"/>
          <w:szCs w:val="60"/>
          <w:lang w:val="en-US"/>
        </w:rPr>
      </w:pPr>
      <w:r w:rsidRPr="00231A20">
        <w:rPr>
          <w:rFonts w:ascii="Helvetica-Bold" w:hAnsi="Helvetica-Bold" w:cs="Helvetica-Bold"/>
          <w:b/>
          <w:bCs/>
          <w:sz w:val="60"/>
          <w:szCs w:val="60"/>
          <w:lang w:val="en-US"/>
        </w:rPr>
        <w:t>Customer Satisfaction Relationship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en-US"/>
        </w:rPr>
      </w:pPr>
      <w:r w:rsidRPr="00231A20">
        <w:rPr>
          <w:rFonts w:ascii="Helvetica" w:hAnsi="Helvetica" w:cs="Helvetica"/>
          <w:sz w:val="20"/>
          <w:szCs w:val="20"/>
          <w:lang w:val="en-US"/>
        </w:rPr>
        <w:t>Market share and customer satisfaction are often used to assess marketing performance. Despite the widespread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assumption of a positive relationship between these two variables, the limited extant empirical literature on the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 xml:space="preserve">subject indicates either a negative or a </w:t>
      </w:r>
      <w:proofErr w:type="spellStart"/>
      <w:r w:rsidRPr="00231A20">
        <w:rPr>
          <w:rFonts w:ascii="Helvetica" w:hAnsi="Helvetica" w:cs="Helvetica"/>
          <w:sz w:val="20"/>
          <w:szCs w:val="20"/>
          <w:lang w:val="en-US"/>
        </w:rPr>
        <w:t>nonsignificant</w:t>
      </w:r>
      <w:proofErr w:type="spellEnd"/>
      <w:r w:rsidRPr="00231A20">
        <w:rPr>
          <w:rFonts w:ascii="Helvetica" w:hAnsi="Helvetica" w:cs="Helvetica"/>
          <w:sz w:val="20"/>
          <w:szCs w:val="20"/>
          <w:lang w:val="en-US"/>
        </w:rPr>
        <w:t xml:space="preserve"> relationship. The authors reexamine this relationship over a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longer time period than has previously been possible in a representative sample of U.S. consumer markets and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find a consistently significant negative market share–customer satisfaction relationship. This is because customer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satisfaction is generally not predictive of firms’ future market share, but market share is a strong negative predictor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of firms’ future customer satisfaction. In follow-up analyses, the authors find that a firm’s customer satisfaction can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predict its future market share when it is benchmarked against that of its nearest rival and customer switching costs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are low. In examining why the market share–future customer satisfaction relationship is generally negative, they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find strong support for preference heterogeneity as a key mediator in this relationship. They also show that</w:t>
      </w:r>
      <w:r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Pr="00231A20">
        <w:rPr>
          <w:rFonts w:ascii="Helvetica" w:hAnsi="Helvetica" w:cs="Helvetica"/>
          <w:sz w:val="20"/>
          <w:szCs w:val="20"/>
          <w:lang w:val="en-US"/>
        </w:rPr>
        <w:t>marketing more brands moderates the negative effect of preference heterogeneity on future customer satisfaction.</w:t>
      </w:r>
    </w:p>
    <w:p w:rsidR="00231A20" w:rsidRDefault="00231A20" w:rsidP="00231A20">
      <w:pPr>
        <w:rPr>
          <w:rFonts w:ascii="Helvetica" w:hAnsi="Helvetica" w:cs="Helvetica"/>
          <w:sz w:val="20"/>
          <w:szCs w:val="20"/>
          <w:lang w:val="en-US"/>
        </w:rPr>
      </w:pPr>
      <w:r w:rsidRPr="00231A20">
        <w:rPr>
          <w:rFonts w:ascii="Helvetica" w:hAnsi="Helvetica" w:cs="Helvetica"/>
          <w:sz w:val="20"/>
          <w:szCs w:val="20"/>
          <w:lang w:val="en-US"/>
        </w:rPr>
        <w:t>Thus, larger brand portfolios offer a strategy solution for the general market share–satisfaction trade-off.</w:t>
      </w:r>
    </w:p>
    <w:p w:rsidR="00E4274D" w:rsidRDefault="00E4274D">
      <w:pPr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 w:cs="Helvetica"/>
          <w:sz w:val="20"/>
          <w:szCs w:val="20"/>
          <w:lang w:val="en-US"/>
        </w:rPr>
        <w:br w:type="page"/>
      </w:r>
    </w:p>
    <w:p w:rsidR="00231A20" w:rsidRDefault="00231A20" w:rsidP="00231A20">
      <w:pPr>
        <w:rPr>
          <w:rFonts w:ascii="Helvetica" w:hAnsi="Helvetica" w:cs="Helvetica"/>
          <w:sz w:val="20"/>
          <w:szCs w:val="20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>Brands as intentional agents framework: How perceived intentions and ability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>can map brand perception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7"/>
          <w:szCs w:val="17"/>
          <w:lang w:val="en-US"/>
        </w:rPr>
      </w:pP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Nicolas </w:t>
      </w:r>
      <w:proofErr w:type="spellStart"/>
      <w:r w:rsidRPr="00231A20">
        <w:rPr>
          <w:rFonts w:ascii="AdvTT6120e2aa" w:hAnsi="AdvTT6120e2aa" w:cs="AdvTT6120e2aa"/>
          <w:sz w:val="26"/>
          <w:szCs w:val="26"/>
          <w:lang w:val="en-US"/>
        </w:rPr>
        <w:t>Kervyn</w:t>
      </w:r>
      <w:proofErr w:type="spellEnd"/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a</w:t>
      </w: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, Susan T. Fiske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b,</w:t>
      </w:r>
      <w:r w:rsidRPr="00231A20">
        <w:rPr>
          <w:rFonts w:ascii="Arial" w:hAnsi="Arial" w:cs="Arial"/>
          <w:sz w:val="24"/>
          <w:szCs w:val="24"/>
          <w:lang w:val="en-US"/>
        </w:rPr>
        <w:t>⁎</w:t>
      </w: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, Chris Malone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c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a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University of Louvain, Fund for Scientific Research (FNRS), Belgium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b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Princeton University, USA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c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Relational Capital Group, USA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Received 30 June 2011; received in revised form 9 September 2011; accepted 10 September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Available online 3 March 2012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sz w:val="18"/>
          <w:szCs w:val="18"/>
          <w:lang w:val="en-US"/>
        </w:rPr>
      </w:pPr>
      <w:r w:rsidRPr="00231A20">
        <w:rPr>
          <w:rFonts w:ascii="AdvTTb8864ccf.B" w:hAnsi="AdvTTb8864ccf.B" w:cs="AdvTTb8864ccf.B"/>
          <w:sz w:val="18"/>
          <w:szCs w:val="18"/>
          <w:lang w:val="en-US"/>
        </w:rPr>
        <w:t>Abstract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  <w:r w:rsidRPr="00231A20">
        <w:rPr>
          <w:rFonts w:ascii="AdvTT6120e2aa" w:hAnsi="AdvTT6120e2aa" w:cs="AdvTT6120e2aa"/>
          <w:sz w:val="18"/>
          <w:szCs w:val="18"/>
          <w:lang w:val="en-US"/>
        </w:rPr>
        <w:t>Building on the Stereotype Content Model, this paper introduces and tests the Brands as Intentional Agents Framework. A growing body of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research suggests that consumers have relationships with brands that resemble relations between people. We propose that consumers perceive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brands in the same way they perceive people. This approach allows us to explore how social perception theories and processes can predict brand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 xml:space="preserve">purchase interest and loyalty. Brands as Intentional Agents Framework is based on a well-established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lastRenderedPageBreak/>
        <w:t>social perception approach: the Stereotype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Content Model. Two studies support the Brands as Intentional Agents Framework prediction that consumers assess a brand's perceived intentions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and ability and that these perceptions elicit distinct emotions and drive differential brand behaviors. The research shows that human social interaction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relationships translate to consumer</w:t>
      </w:r>
      <w:r w:rsidRPr="00231A20">
        <w:rPr>
          <w:rFonts w:ascii="AdvTT6120e2aa+20" w:hAnsi="AdvTT6120e2aa+20" w:cs="AdvTT6120e2aa+20"/>
          <w:sz w:val="18"/>
          <w:szCs w:val="18"/>
          <w:lang w:val="en-US"/>
        </w:rPr>
        <w:t>–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brand interactions in ways that are useful to inform brand positioning and brand communications.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31A20">
        <w:rPr>
          <w:rFonts w:ascii="Arial" w:hAnsi="Arial" w:cs="Arial"/>
          <w:sz w:val="24"/>
          <w:szCs w:val="24"/>
          <w:lang w:val="en-US"/>
        </w:rPr>
        <w:t>Decoding Customer-Firm Relationships: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A20">
        <w:rPr>
          <w:rFonts w:ascii="Arial" w:hAnsi="Arial" w:cs="Arial"/>
          <w:sz w:val="24"/>
          <w:szCs w:val="24"/>
          <w:lang w:val="en-US"/>
        </w:rPr>
        <w:t>How Attachment Styles Help Explain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31A20">
        <w:rPr>
          <w:rFonts w:ascii="Arial" w:hAnsi="Arial" w:cs="Arial"/>
          <w:sz w:val="24"/>
          <w:szCs w:val="24"/>
          <w:lang w:val="en-US"/>
        </w:rPr>
        <w:t>Customers' Preferences for Closeness,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A20">
        <w:rPr>
          <w:rFonts w:ascii="Arial" w:hAnsi="Arial" w:cs="Arial"/>
          <w:sz w:val="24"/>
          <w:szCs w:val="24"/>
          <w:lang w:val="en-US"/>
        </w:rPr>
        <w:t>Repurchase Intentions, and Changes in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E4274D">
        <w:rPr>
          <w:rFonts w:ascii="Arial" w:hAnsi="Arial" w:cs="Arial"/>
          <w:sz w:val="24"/>
          <w:szCs w:val="24"/>
          <w:lang w:val="en-US"/>
        </w:rPr>
        <w:t>Relationship Breadth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Many firms strive to create relationships with customers, but not all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customers are motivated to build close commercial relationships. This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 xml:space="preserve">article introduces a theoretical framework that explains how </w:t>
      </w:r>
      <w:proofErr w:type="spellStart"/>
      <w:r w:rsidRPr="00231A20">
        <w:rPr>
          <w:rFonts w:ascii="Arial" w:hAnsi="Arial" w:cs="Arial"/>
          <w:sz w:val="20"/>
          <w:szCs w:val="20"/>
          <w:lang w:val="en-US"/>
        </w:rPr>
        <w:t>relationshipspecific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attachment styles account for customers' distinct preferences for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closeness and how both attachment styles and preferences for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closeness influence loyalty. The authors test their predictions with survey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data from 1199 insurance customers and three years of purchase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records for 975 of these customers. They find that attachment styles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predict customers' preferences for closeness better than established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marketing variables do. Moreover, attachment styles and preferences for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closeness influence loyalty intentions and behavior, controlling for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established antecedents (e.g., relationship quality). Finally, exploring the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underlying process, the authors show that preference for closeness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partially mediates the effect of attachment styles on cross-buying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behavior. This research provides novel customer segmentation criteria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and actionable guidelines that managers can use to improve their ability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to tailor relationship marketing activities and more effectively allocate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31A20">
        <w:rPr>
          <w:rFonts w:ascii="Arial" w:hAnsi="Arial" w:cs="Arial"/>
          <w:sz w:val="20"/>
          <w:szCs w:val="20"/>
          <w:lang w:val="en-US"/>
        </w:rPr>
        <w:t>resources to match customer preferences.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4274D" w:rsidRDefault="00E4274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>Relative visual saliency differences induce sizable bias in consumer choice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7"/>
          <w:szCs w:val="17"/>
        </w:rPr>
      </w:pPr>
      <w:proofErr w:type="spellStart"/>
      <w:r>
        <w:rPr>
          <w:rFonts w:ascii="AdvTT6120e2aa" w:hAnsi="AdvTT6120e2aa" w:cs="AdvTT6120e2aa"/>
          <w:sz w:val="26"/>
          <w:szCs w:val="26"/>
        </w:rPr>
        <w:t>Milica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</w:t>
      </w:r>
      <w:proofErr w:type="spellStart"/>
      <w:r>
        <w:rPr>
          <w:rFonts w:ascii="AdvTT6120e2aa" w:hAnsi="AdvTT6120e2aa" w:cs="AdvTT6120e2aa"/>
          <w:sz w:val="26"/>
          <w:szCs w:val="26"/>
        </w:rPr>
        <w:t>Milosavljevic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</w:t>
      </w:r>
      <w:r>
        <w:rPr>
          <w:rFonts w:ascii="AdvTT6120e2aa" w:hAnsi="AdvTT6120e2aa" w:cs="AdvTT6120e2aa"/>
          <w:sz w:val="17"/>
          <w:szCs w:val="17"/>
        </w:rPr>
        <w:t>a,</w:t>
      </w:r>
      <w:r>
        <w:rPr>
          <w:rFonts w:ascii="Arial" w:hAnsi="Arial" w:cs="Arial"/>
          <w:sz w:val="24"/>
          <w:szCs w:val="24"/>
        </w:rPr>
        <w:t>⁎</w:t>
      </w:r>
      <w:r>
        <w:rPr>
          <w:rFonts w:ascii="AdvTT6120e2aa" w:hAnsi="AdvTT6120e2aa" w:cs="AdvTT6120e2aa"/>
          <w:sz w:val="26"/>
          <w:szCs w:val="26"/>
        </w:rPr>
        <w:t xml:space="preserve">, </w:t>
      </w:r>
      <w:proofErr w:type="spellStart"/>
      <w:r>
        <w:rPr>
          <w:rFonts w:ascii="AdvTT6120e2aa" w:hAnsi="AdvTT6120e2aa" w:cs="AdvTT6120e2aa"/>
          <w:sz w:val="26"/>
          <w:szCs w:val="26"/>
        </w:rPr>
        <w:t>Vidhya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</w:t>
      </w:r>
      <w:proofErr w:type="spellStart"/>
      <w:r>
        <w:rPr>
          <w:rFonts w:ascii="AdvTT6120e2aa" w:hAnsi="AdvTT6120e2aa" w:cs="AdvTT6120e2aa"/>
          <w:sz w:val="26"/>
          <w:szCs w:val="26"/>
        </w:rPr>
        <w:t>Navalpakkam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</w:t>
      </w:r>
      <w:r>
        <w:rPr>
          <w:rFonts w:ascii="AdvTT6120e2aa" w:hAnsi="AdvTT6120e2aa" w:cs="AdvTT6120e2aa"/>
          <w:sz w:val="17"/>
          <w:szCs w:val="17"/>
        </w:rPr>
        <w:t>a</w:t>
      </w:r>
      <w:r>
        <w:rPr>
          <w:rFonts w:ascii="AdvTT6120e2aa" w:hAnsi="AdvTT6120e2aa" w:cs="AdvTT6120e2aa"/>
          <w:sz w:val="26"/>
          <w:szCs w:val="26"/>
        </w:rPr>
        <w:t xml:space="preserve">, </w:t>
      </w:r>
      <w:proofErr w:type="spellStart"/>
      <w:r>
        <w:rPr>
          <w:rFonts w:ascii="AdvTT6120e2aa" w:hAnsi="AdvTT6120e2aa" w:cs="AdvTT6120e2aa"/>
          <w:sz w:val="26"/>
          <w:szCs w:val="26"/>
        </w:rPr>
        <w:t>Christof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Koch </w:t>
      </w:r>
      <w:r>
        <w:rPr>
          <w:rFonts w:ascii="AdvTT6120e2aa" w:hAnsi="AdvTT6120e2aa" w:cs="AdvTT6120e2aa"/>
          <w:sz w:val="17"/>
          <w:szCs w:val="17"/>
        </w:rPr>
        <w:t>a</w:t>
      </w:r>
      <w:r>
        <w:rPr>
          <w:rFonts w:ascii="AdvTT6120e2aa" w:hAnsi="AdvTT6120e2aa" w:cs="AdvTT6120e2aa"/>
          <w:sz w:val="26"/>
          <w:szCs w:val="26"/>
        </w:rPr>
        <w:t xml:space="preserve">, Antonio </w:t>
      </w:r>
      <w:proofErr w:type="spellStart"/>
      <w:r>
        <w:rPr>
          <w:rFonts w:ascii="AdvTT6120e2aa" w:hAnsi="AdvTT6120e2aa" w:cs="AdvTT6120e2aa"/>
          <w:sz w:val="26"/>
          <w:szCs w:val="26"/>
        </w:rPr>
        <w:t>Rangel</w:t>
      </w:r>
      <w:proofErr w:type="spellEnd"/>
      <w:r>
        <w:rPr>
          <w:rFonts w:ascii="AdvTT6120e2aa" w:hAnsi="AdvTT6120e2aa" w:cs="AdvTT6120e2aa"/>
          <w:sz w:val="26"/>
          <w:szCs w:val="26"/>
        </w:rPr>
        <w:t xml:space="preserve"> </w:t>
      </w:r>
      <w:r>
        <w:rPr>
          <w:rFonts w:ascii="AdvTT6120e2aa" w:hAnsi="AdvTT6120e2aa" w:cs="AdvTT6120e2aa"/>
          <w:sz w:val="17"/>
          <w:szCs w:val="17"/>
        </w:rPr>
        <w:t>a, b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a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Division of Biology, California Institute of Technology, MC 228-77, 1200 E. California Blvd, Pasadena, CA 91125, USA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b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Division of Humanities and Social Sciences, California Institute of Technology, MC 228-77, 1200 E. California Blvd, Pasadena, CA 91125, USA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Received 18 January 2011; received in revised form 1 September 2011; accepted 27 October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Available online 3 December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sz w:val="18"/>
          <w:szCs w:val="18"/>
          <w:lang w:val="en-US"/>
        </w:rPr>
      </w:pPr>
      <w:r w:rsidRPr="00231A20">
        <w:rPr>
          <w:rFonts w:ascii="AdvTTb8864ccf.B" w:hAnsi="AdvTTb8864ccf.B" w:cs="AdvTTb8864ccf.B"/>
          <w:sz w:val="18"/>
          <w:szCs w:val="18"/>
          <w:lang w:val="en-US"/>
        </w:rPr>
        <w:t>Abstract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  <w:r w:rsidRPr="00231A20">
        <w:rPr>
          <w:rFonts w:ascii="AdvTT6120e2aa" w:hAnsi="AdvTT6120e2aa" w:cs="AdvTT6120e2aa"/>
          <w:sz w:val="18"/>
          <w:szCs w:val="18"/>
          <w:lang w:val="en-US"/>
        </w:rPr>
        <w:t>Consumers often need to make very rapid choices among multiple brands (e.g., at a supermarket shelf) that differ both in their reward value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(e.g., taste) and in their visual properties (e.g., color and brightness of the packaging). Since the visual properties of stimuli are known to in</w:t>
      </w:r>
      <w:r w:rsidRPr="00231A20">
        <w:rPr>
          <w:rFonts w:ascii="AdvTT6120e2aa+fb" w:hAnsi="AdvTT6120e2aa+fb" w:cs="AdvTT6120e2aa+fb"/>
          <w:sz w:val="18"/>
          <w:szCs w:val="18"/>
          <w:lang w:val="en-US"/>
        </w:rPr>
        <w:t>fl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uence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visual attention, and attention is known to in</w:t>
      </w:r>
      <w:r w:rsidRPr="00231A20">
        <w:rPr>
          <w:rFonts w:ascii="AdvTT6120e2aa+fb" w:hAnsi="AdvTT6120e2aa+fb" w:cs="AdvTT6120e2aa+fb"/>
          <w:sz w:val="18"/>
          <w:szCs w:val="18"/>
          <w:lang w:val="en-US"/>
        </w:rPr>
        <w:t>fl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uence choices, this gives rise to a potential visual saliency bias in choices. We utilize experimental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design from visual neuroscience in three real food choice experiments to measure the size of the visual saliency bias and how it changes with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decision speed and cognitive load. Our results show that at rapid decision speeds visual saliency in</w:t>
      </w:r>
      <w:r w:rsidRPr="00231A20">
        <w:rPr>
          <w:rFonts w:ascii="AdvTT6120e2aa+fb" w:hAnsi="AdvTT6120e2aa+fb" w:cs="AdvTT6120e2aa+fb"/>
          <w:sz w:val="18"/>
          <w:szCs w:val="18"/>
          <w:lang w:val="en-US"/>
        </w:rPr>
        <w:t>fl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uences choices more than preferences do, that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the bias increases with cognitive load, and that it is particularly strong when individuals do not have strong preferences among the options.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Bold" w:hAnsi="ACaslonPro-Bold" w:cs="ACaslonPro-Bold"/>
          <w:b/>
          <w:bCs/>
          <w:sz w:val="44"/>
          <w:szCs w:val="44"/>
          <w:lang w:val="en-US"/>
        </w:rPr>
      </w:pPr>
      <w:r w:rsidRPr="00231A20">
        <w:rPr>
          <w:rFonts w:ascii="ACaslonPro-Bold" w:hAnsi="ACaslonPro-Bold" w:cs="ACaslonPro-Bold"/>
          <w:b/>
          <w:bCs/>
          <w:sz w:val="44"/>
          <w:szCs w:val="44"/>
          <w:lang w:val="en-US"/>
        </w:rPr>
        <w:t>Nature imagery in advertising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Semibold" w:hAnsi="ACaslonPro-Semibold" w:cs="ACaslonPro-Semibold"/>
          <w:sz w:val="36"/>
          <w:szCs w:val="36"/>
          <w:lang w:val="en-US"/>
        </w:rPr>
      </w:pPr>
      <w:r w:rsidRPr="00231A20">
        <w:rPr>
          <w:rFonts w:ascii="ACaslonPro-Semibold" w:hAnsi="ACaslonPro-Semibold" w:cs="ACaslonPro-Semibold"/>
          <w:sz w:val="36"/>
          <w:szCs w:val="36"/>
          <w:lang w:val="en-US"/>
        </w:rPr>
        <w:t>Attention restoration and memory effects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4"/>
          <w:szCs w:val="24"/>
          <w:lang w:val="en-US"/>
        </w:rPr>
      </w:pPr>
      <w:r w:rsidRPr="00231A20">
        <w:rPr>
          <w:rFonts w:ascii="ACaslonPro-Regular" w:eastAsia="ACaslonPro-Regular" w:hAnsi="ACaslonPro-Bold" w:cs="ACaslonPro-Regular"/>
          <w:sz w:val="24"/>
          <w:szCs w:val="24"/>
          <w:lang w:val="en-US"/>
        </w:rPr>
        <w:t xml:space="preserve">Patrick Hartmann and Vanessa </w:t>
      </w:r>
      <w:proofErr w:type="spellStart"/>
      <w:r w:rsidRPr="00231A20">
        <w:rPr>
          <w:rFonts w:ascii="ACaslonPro-Regular" w:eastAsia="ACaslonPro-Regular" w:hAnsi="ACaslonPro-Bold" w:cs="ACaslonPro-Regular"/>
          <w:sz w:val="24"/>
          <w:szCs w:val="24"/>
          <w:lang w:val="en-US"/>
        </w:rPr>
        <w:t>Apaolaza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Italic" w:hAnsi="ACaslonPro-Italic" w:cs="ACaslonPro-Italic"/>
          <w:i/>
          <w:iCs/>
          <w:lang w:val="en-US"/>
        </w:rPr>
      </w:pPr>
      <w:r w:rsidRPr="00231A20">
        <w:rPr>
          <w:rFonts w:ascii="ACaslonPro-Italic" w:hAnsi="ACaslonPro-Italic" w:cs="ACaslonPro-Italic"/>
          <w:i/>
          <w:iCs/>
          <w:lang w:val="en-US"/>
        </w:rPr>
        <w:t>University of the Basque Country UPV/EHU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4"/>
          <w:szCs w:val="24"/>
          <w:lang w:val="en-US"/>
        </w:rPr>
      </w:pPr>
      <w:proofErr w:type="spellStart"/>
      <w:r w:rsidRPr="00231A20">
        <w:rPr>
          <w:rFonts w:ascii="ACaslonPro-Regular" w:eastAsia="ACaslonPro-Regular" w:hAnsi="ACaslonPro-Bold" w:cs="ACaslonPro-Regular"/>
          <w:sz w:val="24"/>
          <w:szCs w:val="24"/>
          <w:lang w:val="en-US"/>
        </w:rPr>
        <w:t>Patxi</w:t>
      </w:r>
      <w:proofErr w:type="spellEnd"/>
      <w:r w:rsidRPr="00231A20">
        <w:rPr>
          <w:rFonts w:ascii="ACaslonPro-Regular" w:eastAsia="ACaslonPro-Regular" w:hAnsi="ACaslonPro-Bold" w:cs="ACaslonPro-Regular"/>
          <w:sz w:val="24"/>
          <w:szCs w:val="24"/>
          <w:lang w:val="en-US"/>
        </w:rPr>
        <w:t xml:space="preserve"> </w:t>
      </w:r>
      <w:proofErr w:type="spellStart"/>
      <w:r w:rsidRPr="00231A20">
        <w:rPr>
          <w:rFonts w:ascii="ACaslonPro-Regular" w:eastAsia="ACaslonPro-Regular" w:hAnsi="ACaslonPro-Bold" w:cs="ACaslonPro-Regular"/>
          <w:sz w:val="24"/>
          <w:szCs w:val="24"/>
          <w:lang w:val="en-US"/>
        </w:rPr>
        <w:t>Alija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Italic" w:hAnsi="ACaslonPro-Italic" w:cs="ACaslonPro-Italic"/>
          <w:i/>
          <w:iCs/>
          <w:lang w:val="en-US"/>
        </w:rPr>
      </w:pPr>
      <w:proofErr w:type="spellStart"/>
      <w:r w:rsidRPr="00231A20">
        <w:rPr>
          <w:rFonts w:ascii="ACaslonPro-Italic" w:hAnsi="ACaslonPro-Italic" w:cs="ACaslonPro-Italic"/>
          <w:i/>
          <w:iCs/>
          <w:lang w:val="en-US"/>
        </w:rPr>
        <w:t>Adimen</w:t>
      </w:r>
      <w:proofErr w:type="spellEnd"/>
      <w:r w:rsidRPr="00231A20">
        <w:rPr>
          <w:rFonts w:ascii="ACaslonPro-Italic" w:hAnsi="ACaslonPro-Italic" w:cs="ACaslonPro-Italic"/>
          <w:i/>
          <w:iCs/>
          <w:lang w:val="en-US"/>
        </w:rPr>
        <w:t xml:space="preserve"> Research Institute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Environmental psychology postulates that interacting with nature has inherently positive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emotional, cognitive and physiological effects. Based on Attention Restoration Theory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 xml:space="preserve">and related research, this paper presents a theoretical framework </w:t>
      </w:r>
      <w:proofErr w:type="spellStart"/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hypothesising</w:t>
      </w:r>
      <w:proofErr w:type="spellEnd"/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 xml:space="preserve"> that nature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imagery presented in an advertisement enhances cognitive advertising message elaboration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lastRenderedPageBreak/>
        <w:t>and memory. Three experimental studies, including an eye-tracking experiment, which successively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addressed emotional, information processing and memory effects of exposure to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nature imagery in advertising, provided evidence supporting postulated effects. Findings confirmed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the hypothesis that advertisements featuring visual representations of pleasant nature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scenes can evoke very similar emotional responses to those experienced in pleasant natural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environments, which constitutes a necessary condition for the suggested cognitive effects.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 xml:space="preserve">As </w:t>
      </w:r>
      <w:proofErr w:type="spellStart"/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hypothesised</w:t>
      </w:r>
      <w:proofErr w:type="spellEnd"/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, advertising messages of advertisements featuring pleasant nature imagery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achieved higher memory scores in both unaided recall and recognition compared to identical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 w:rsidRPr="00231A20">
        <w:rPr>
          <w:rFonts w:ascii="ACaslonPro-Regular" w:eastAsia="ACaslonPro-Regular" w:hAnsi="ACaslonPro-Bold" w:cs="ACaslonPro-Regular"/>
          <w:sz w:val="20"/>
          <w:szCs w:val="20"/>
          <w:lang w:val="en-US"/>
        </w:rPr>
        <w:t>advertisements displaying a variety of other attractive pictures</w:t>
      </w:r>
    </w:p>
    <w:p w:rsidR="00E4274D" w:rsidRDefault="00E4274D">
      <w:pPr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  <w:r>
        <w:rPr>
          <w:rFonts w:ascii="ACaslonPro-Regular" w:eastAsia="ACaslonPro-Regular" w:hAnsi="ACaslonPro-Bold" w:cs="ACaslonPro-Regular"/>
          <w:sz w:val="20"/>
          <w:szCs w:val="20"/>
          <w:lang w:val="en-US"/>
        </w:rPr>
        <w:br w:type="page"/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28"/>
          <w:szCs w:val="28"/>
          <w:lang w:val="en-US"/>
        </w:rPr>
      </w:pPr>
      <w:r w:rsidRPr="00231A20">
        <w:rPr>
          <w:rFonts w:ascii="Arial" w:hAnsi="Arial" w:cs="Arial"/>
          <w:color w:val="212121"/>
          <w:sz w:val="28"/>
          <w:szCs w:val="28"/>
          <w:lang w:val="en-US"/>
        </w:rPr>
        <w:t>Katherine White &amp; Bonnie Simpson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2121"/>
          <w:sz w:val="28"/>
          <w:szCs w:val="28"/>
          <w:lang w:val="en-US"/>
        </w:rPr>
      </w:pPr>
      <w:r w:rsidRPr="00E4274D">
        <w:rPr>
          <w:rFonts w:ascii="Arial" w:hAnsi="Arial" w:cs="Arial"/>
          <w:b/>
          <w:bCs/>
          <w:color w:val="212121"/>
          <w:sz w:val="28"/>
          <w:szCs w:val="28"/>
          <w:lang w:val="en-US"/>
        </w:rPr>
        <w:t>When Do (and Don't) Normative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2121"/>
          <w:sz w:val="28"/>
          <w:szCs w:val="28"/>
          <w:lang w:val="en-US"/>
        </w:rPr>
      </w:pPr>
      <w:r w:rsidRPr="00E4274D">
        <w:rPr>
          <w:rFonts w:ascii="Arial" w:hAnsi="Arial" w:cs="Arial"/>
          <w:b/>
          <w:bCs/>
          <w:color w:val="212121"/>
          <w:sz w:val="28"/>
          <w:szCs w:val="28"/>
          <w:lang w:val="en-US"/>
        </w:rPr>
        <w:t>Appeals Influence Sustainable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12121"/>
          <w:sz w:val="28"/>
          <w:szCs w:val="28"/>
          <w:lang w:val="en-US"/>
        </w:rPr>
      </w:pPr>
      <w:r w:rsidRPr="00E4274D">
        <w:rPr>
          <w:rFonts w:ascii="Arial" w:hAnsi="Arial" w:cs="Arial"/>
          <w:b/>
          <w:bCs/>
          <w:color w:val="212121"/>
          <w:sz w:val="28"/>
          <w:szCs w:val="28"/>
          <w:lang w:val="en-US"/>
        </w:rPr>
        <w:t>Consumer Behaviors?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20"/>
          <w:szCs w:val="20"/>
          <w:lang w:val="en-US"/>
        </w:rPr>
      </w:pPr>
      <w:r w:rsidRPr="00231A20">
        <w:rPr>
          <w:rFonts w:ascii="Arial" w:hAnsi="Arial" w:cs="Arial"/>
          <w:color w:val="212121"/>
          <w:sz w:val="20"/>
          <w:szCs w:val="20"/>
          <w:lang w:val="en-US"/>
        </w:rPr>
        <w:t>The authors explore how injunctive appeals (i.e., highlighting what others think one should do), descriptive appeals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(i.e., highlighting what others are doing), and benefit appeals (i.e., highlighting the benefits of the action) can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encourage consumers to engage in relatively unfamiliar sustainable behaviors such as "</w:t>
      </w:r>
      <w:proofErr w:type="spellStart"/>
      <w:r w:rsidRPr="00231A20">
        <w:rPr>
          <w:rFonts w:ascii="Arial" w:hAnsi="Arial" w:cs="Arial"/>
          <w:color w:val="212121"/>
          <w:sz w:val="20"/>
          <w:szCs w:val="20"/>
          <w:lang w:val="en-US"/>
        </w:rPr>
        <w:t>grasscycling</w:t>
      </w:r>
      <w:proofErr w:type="spellEnd"/>
      <w:r w:rsidRPr="00231A20">
        <w:rPr>
          <w:rFonts w:ascii="Arial" w:hAnsi="Arial" w:cs="Arial"/>
          <w:color w:val="212121"/>
          <w:sz w:val="20"/>
          <w:szCs w:val="20"/>
          <w:lang w:val="en-US"/>
        </w:rPr>
        <w:t>" and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composting. Across one field study and three laboratory studies, the authors demonstrate that the effectiveness of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the appeal type depends on whether the individual or collective level of the self is activated. When the collective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level of self is activated, injunctive and descriptive normative appeals are most effective, whereas benefit appeals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are less effective in encouraging sustainable behaviors. When the individual level of self is activated, self-benefit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and descriptive appeals are particularly effective. The positive effects of descriptive appeals for the individual self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are related to the informational benefits that such appeals can provide. The authors propose a goal-compatibility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mechanism for these results and find that a match of congruent goals leads to the most positive consumer</w:t>
      </w:r>
      <w:r>
        <w:rPr>
          <w:rFonts w:ascii="Arial" w:hAnsi="Arial" w:cs="Arial"/>
          <w:color w:val="212121"/>
          <w:sz w:val="20"/>
          <w:szCs w:val="20"/>
          <w:lang w:val="en-US"/>
        </w:rPr>
        <w:t xml:space="preserve"> </w:t>
      </w:r>
      <w:r w:rsidRPr="00231A20">
        <w:rPr>
          <w:rFonts w:ascii="Arial" w:hAnsi="Arial" w:cs="Arial"/>
          <w:color w:val="212121"/>
          <w:sz w:val="20"/>
          <w:szCs w:val="20"/>
          <w:lang w:val="en-US"/>
        </w:rPr>
        <w:t>responses. They conclude with a discussion of implications for consumers, marketers, and public policy makers.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20"/>
          <w:szCs w:val="20"/>
          <w:lang w:val="en-US"/>
        </w:rPr>
      </w:pP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20"/>
          <w:szCs w:val="20"/>
          <w:lang w:val="en-US"/>
        </w:rPr>
      </w:pP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20"/>
          <w:szCs w:val="20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>How we relate to brands: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 xml:space="preserve">Psychological and </w:t>
      </w:r>
      <w:proofErr w:type="spellStart"/>
      <w:r w:rsidRPr="00231A20">
        <w:rPr>
          <w:rFonts w:ascii="AdvTT6120e2aa" w:hAnsi="AdvTT6120e2aa" w:cs="AdvTT6120e2aa"/>
          <w:sz w:val="34"/>
          <w:szCs w:val="34"/>
          <w:lang w:val="en-US"/>
        </w:rPr>
        <w:t>neurophysiological</w:t>
      </w:r>
      <w:proofErr w:type="spellEnd"/>
      <w:r w:rsidRPr="00231A20">
        <w:rPr>
          <w:rFonts w:ascii="AdvTT6120e2aa" w:hAnsi="AdvTT6120e2aa" w:cs="AdvTT6120e2aa"/>
          <w:sz w:val="34"/>
          <w:szCs w:val="34"/>
          <w:lang w:val="en-US"/>
        </w:rPr>
        <w:t xml:space="preserve"> insights into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34"/>
          <w:szCs w:val="34"/>
          <w:lang w:val="en-US"/>
        </w:rPr>
      </w:pPr>
      <w:r w:rsidRPr="00231A20">
        <w:rPr>
          <w:rFonts w:ascii="AdvTT6120e2aa" w:hAnsi="AdvTT6120e2aa" w:cs="AdvTT6120e2aa"/>
          <w:sz w:val="34"/>
          <w:szCs w:val="34"/>
          <w:lang w:val="en-US"/>
        </w:rPr>
        <w:t>consumer</w:t>
      </w:r>
      <w:r w:rsidRPr="00231A20">
        <w:rPr>
          <w:rFonts w:ascii="AdvTT6120e2aa+20" w:hAnsi="AdvTT6120e2aa+20" w:cs="AdvTT6120e2aa+20"/>
          <w:sz w:val="34"/>
          <w:szCs w:val="34"/>
          <w:lang w:val="en-US"/>
        </w:rPr>
        <w:t>–</w:t>
      </w:r>
      <w:r w:rsidRPr="00231A20">
        <w:rPr>
          <w:rFonts w:ascii="AdvTT6120e2aa" w:hAnsi="AdvTT6120e2aa" w:cs="AdvTT6120e2aa"/>
          <w:sz w:val="34"/>
          <w:szCs w:val="34"/>
          <w:lang w:val="en-US"/>
        </w:rPr>
        <w:t>brand relationships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7"/>
          <w:szCs w:val="17"/>
          <w:lang w:val="en-US"/>
        </w:rPr>
      </w:pP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Martin </w:t>
      </w:r>
      <w:proofErr w:type="spellStart"/>
      <w:r w:rsidRPr="00231A20">
        <w:rPr>
          <w:rFonts w:ascii="AdvTT6120e2aa" w:hAnsi="AdvTT6120e2aa" w:cs="AdvTT6120e2aa"/>
          <w:sz w:val="26"/>
          <w:szCs w:val="26"/>
          <w:lang w:val="en-US"/>
        </w:rPr>
        <w:t>Reimann</w:t>
      </w:r>
      <w:proofErr w:type="spellEnd"/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a,</w:t>
      </w:r>
      <w:r w:rsidRPr="00231A20">
        <w:rPr>
          <w:rFonts w:ascii="AdvTT6120e2aa+20" w:hAnsi="AdvTT6120e2aa+20" w:cs="AdvTT6120e2aa+20"/>
          <w:sz w:val="24"/>
          <w:szCs w:val="24"/>
          <w:lang w:val="en-US"/>
        </w:rPr>
        <w:t>!</w:t>
      </w: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, Raquel </w:t>
      </w:r>
      <w:proofErr w:type="spellStart"/>
      <w:r w:rsidRPr="00231A20">
        <w:rPr>
          <w:rFonts w:ascii="AdvTT6120e2aa" w:hAnsi="AdvTT6120e2aa" w:cs="AdvTT6120e2aa"/>
          <w:sz w:val="26"/>
          <w:szCs w:val="26"/>
          <w:lang w:val="en-US"/>
        </w:rPr>
        <w:t>Castaño</w:t>
      </w:r>
      <w:proofErr w:type="spellEnd"/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b</w:t>
      </w: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, Judith </w:t>
      </w:r>
      <w:proofErr w:type="spellStart"/>
      <w:r w:rsidRPr="00231A20">
        <w:rPr>
          <w:rFonts w:ascii="AdvTT6120e2aa" w:hAnsi="AdvTT6120e2aa" w:cs="AdvTT6120e2aa"/>
          <w:sz w:val="26"/>
          <w:szCs w:val="26"/>
          <w:lang w:val="en-US"/>
        </w:rPr>
        <w:t>Zaichkowsky</w:t>
      </w:r>
      <w:proofErr w:type="spellEnd"/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c</w:t>
      </w:r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, Antoine </w:t>
      </w:r>
      <w:proofErr w:type="spellStart"/>
      <w:r w:rsidRPr="00231A20">
        <w:rPr>
          <w:rFonts w:ascii="AdvTT6120e2aa" w:hAnsi="AdvTT6120e2aa" w:cs="AdvTT6120e2aa"/>
          <w:sz w:val="26"/>
          <w:szCs w:val="26"/>
          <w:lang w:val="en-US"/>
        </w:rPr>
        <w:t>Bechara</w:t>
      </w:r>
      <w:proofErr w:type="spellEnd"/>
      <w:r w:rsidRPr="00231A20">
        <w:rPr>
          <w:rFonts w:ascii="AdvTT6120e2aa" w:hAnsi="AdvTT6120e2aa" w:cs="AdvTT6120e2aa"/>
          <w:sz w:val="26"/>
          <w:szCs w:val="26"/>
          <w:lang w:val="en-US"/>
        </w:rPr>
        <w:t xml:space="preserve"> </w:t>
      </w:r>
      <w:r w:rsidRPr="00231A20">
        <w:rPr>
          <w:rFonts w:ascii="AdvTT6120e2aa" w:hAnsi="AdvTT6120e2aa" w:cs="AdvTT6120e2aa"/>
          <w:sz w:val="17"/>
          <w:szCs w:val="17"/>
          <w:lang w:val="en-US"/>
        </w:rPr>
        <w:t>a, 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a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>University of Southern California, Department of Psychology, Brain &amp; Creativity Institute, 3620 McClintock Avenue, Los Angeles, CA 90089, USA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b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Tecnológico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de Monterrey, EGADE Business School, Garza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García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>, Monterrey, Mexico 66269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c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Copenhagen Business School, Marketing Department,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Soljberg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Plads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3, Frederiksberg 2000, Denmark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1"/>
          <w:szCs w:val="11"/>
          <w:lang w:val="en-US"/>
        </w:rPr>
        <w:t xml:space="preserve">d </w:t>
      </w:r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McGill University,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Desautels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Faculty of Management,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Faculté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de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gestion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Desautels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, 1001 </w:t>
      </w:r>
      <w:proofErr w:type="spellStart"/>
      <w:r w:rsidRPr="00231A20">
        <w:rPr>
          <w:rFonts w:ascii="AdvTT50a2f13e.I" w:hAnsi="AdvTT50a2f13e.I" w:cs="AdvTT50a2f13e.I"/>
          <w:sz w:val="16"/>
          <w:szCs w:val="16"/>
          <w:lang w:val="en-US"/>
        </w:rPr>
        <w:t>Sherbrooke</w:t>
      </w:r>
      <w:proofErr w:type="spellEnd"/>
      <w:r w:rsidRPr="00231A20">
        <w:rPr>
          <w:rFonts w:ascii="AdvTT50a2f13e.I" w:hAnsi="AdvTT50a2f13e.I" w:cs="AdvTT50a2f13e.I"/>
          <w:sz w:val="16"/>
          <w:szCs w:val="16"/>
          <w:lang w:val="en-US"/>
        </w:rPr>
        <w:t xml:space="preserve"> Street West, Montreal, Quebec, Canada H3A 1G5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Received 31 January 2011; revised 15 November 2011; accepted 21 November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6"/>
          <w:szCs w:val="16"/>
          <w:lang w:val="en-US"/>
        </w:rPr>
      </w:pPr>
      <w:r w:rsidRPr="00231A20">
        <w:rPr>
          <w:rFonts w:ascii="AdvTT6120e2aa" w:hAnsi="AdvTT6120e2aa" w:cs="AdvTT6120e2aa"/>
          <w:sz w:val="16"/>
          <w:szCs w:val="16"/>
          <w:lang w:val="en-US"/>
        </w:rPr>
        <w:t>Available online 21 December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sz w:val="18"/>
          <w:szCs w:val="18"/>
          <w:lang w:val="en-US"/>
        </w:rPr>
      </w:pPr>
      <w:r w:rsidRPr="00231A20">
        <w:rPr>
          <w:rFonts w:ascii="AdvTTb8864ccf.B" w:hAnsi="AdvTTb8864ccf.B" w:cs="AdvTTb8864ccf.B"/>
          <w:sz w:val="18"/>
          <w:szCs w:val="18"/>
          <w:lang w:val="en-US"/>
        </w:rPr>
        <w:t>Abstract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  <w:r w:rsidRPr="00231A20">
        <w:rPr>
          <w:rFonts w:ascii="AdvTT6120e2aa" w:hAnsi="AdvTT6120e2aa" w:cs="AdvTT6120e2aa"/>
          <w:sz w:val="18"/>
          <w:szCs w:val="18"/>
          <w:lang w:val="en-US"/>
        </w:rPr>
        <w:t xml:space="preserve">In three experiments, this research provides new insights into branding by studying the psychological and </w:t>
      </w:r>
      <w:proofErr w:type="spellStart"/>
      <w:r w:rsidRPr="00231A20">
        <w:rPr>
          <w:rFonts w:ascii="AdvTT6120e2aa" w:hAnsi="AdvTT6120e2aa" w:cs="AdvTT6120e2aa"/>
          <w:sz w:val="18"/>
          <w:szCs w:val="18"/>
          <w:lang w:val="en-US"/>
        </w:rPr>
        <w:t>neurophysiological</w:t>
      </w:r>
      <w:proofErr w:type="spellEnd"/>
      <w:r w:rsidRPr="00231A20">
        <w:rPr>
          <w:rFonts w:ascii="AdvTT6120e2aa" w:hAnsi="AdvTT6120e2aa" w:cs="AdvTT6120e2aa"/>
          <w:sz w:val="18"/>
          <w:szCs w:val="18"/>
          <w:lang w:val="en-US"/>
        </w:rPr>
        <w:t xml:space="preserve"> mechanisms of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how consumers relate to their beloved brands. The authors propose that emotional arousal decreases over the brand relationship span, while inclusion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of the brand into the self increases over time. Results of experiment 1 indicate greater self-reported emotional arousal for recently formed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brand relationships, as well as decreased emotional arousal and increased inclusion of close brands over time. Additionally, the moderating role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of usage frequency of the brand brings out an interesting nuance of the way these effects operate. Experiment 2 measures skin conductance responses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and reveals increased emotional arousal for recently formed close relationships but not for established close brand relationships, corroborating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>the results based on self-reported data. In experiment 3, a functional magnetic resonance imaging study reveals an association between</w:t>
      </w:r>
      <w:r>
        <w:rPr>
          <w:rFonts w:ascii="AdvTT6120e2aa" w:hAnsi="AdvTT6120e2aa" w:cs="AdvTT6120e2aa"/>
          <w:sz w:val="18"/>
          <w:szCs w:val="18"/>
          <w:lang w:val="en-US"/>
        </w:rPr>
        <w:t xml:space="preserve"> </w:t>
      </w:r>
      <w:r w:rsidRPr="00231A20">
        <w:rPr>
          <w:rFonts w:ascii="AdvTT6120e2aa" w:hAnsi="AdvTT6120e2aa" w:cs="AdvTT6120e2aa"/>
          <w:sz w:val="18"/>
          <w:szCs w:val="18"/>
          <w:lang w:val="en-US"/>
        </w:rPr>
        <w:t xml:space="preserve">established close relationships and activation of the </w:t>
      </w:r>
      <w:proofErr w:type="spellStart"/>
      <w:r w:rsidRPr="00231A20">
        <w:rPr>
          <w:rFonts w:ascii="AdvTT6120e2aa" w:hAnsi="AdvTT6120e2aa" w:cs="AdvTT6120e2aa"/>
          <w:sz w:val="18"/>
          <w:szCs w:val="18"/>
          <w:lang w:val="en-US"/>
        </w:rPr>
        <w:t>insula</w:t>
      </w:r>
      <w:proofErr w:type="spellEnd"/>
      <w:r w:rsidRPr="00231A20">
        <w:rPr>
          <w:rFonts w:ascii="AdvTT6120e2aa" w:hAnsi="AdvTT6120e2aa" w:cs="AdvTT6120e2aa"/>
          <w:sz w:val="18"/>
          <w:szCs w:val="18"/>
          <w:lang w:val="en-US"/>
        </w:rPr>
        <w:t>, a brain area previously found to be a crucial mechanism in diverse but related psychological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sz w:val="18"/>
          <w:szCs w:val="18"/>
          <w:lang w:val="en-US"/>
        </w:rPr>
      </w:pPr>
      <w:r w:rsidRPr="00231A20">
        <w:rPr>
          <w:rFonts w:ascii="AdvTT6120e2aa" w:hAnsi="AdvTT6120e2aa" w:cs="AdvTT6120e2aa"/>
          <w:sz w:val="18"/>
          <w:szCs w:val="18"/>
          <w:lang w:val="en-US"/>
        </w:rPr>
        <w:t>phenomena such as urging, addiction, loss aversion, and interpersonal love.</w:t>
      </w:r>
    </w:p>
    <w:p w:rsidR="00231A20" w:rsidRDefault="00231A20">
      <w:pPr>
        <w:rPr>
          <w:rFonts w:ascii="AdvTT6120e2aa" w:hAnsi="AdvTT6120e2aa" w:cs="AdvTT6120e2aa"/>
          <w:sz w:val="18"/>
          <w:szCs w:val="18"/>
          <w:lang w:val="en-US"/>
        </w:rPr>
      </w:pPr>
      <w:r>
        <w:rPr>
          <w:rFonts w:ascii="AdvTT6120e2aa" w:hAnsi="AdvTT6120e2aa" w:cs="AdvTT6120e2aa"/>
          <w:sz w:val="18"/>
          <w:szCs w:val="18"/>
          <w:lang w:val="en-US"/>
        </w:rPr>
        <w:br w:type="page"/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sz w:val="26"/>
          <w:szCs w:val="26"/>
          <w:lang w:val="en-US"/>
        </w:rPr>
      </w:pPr>
      <w:r w:rsidRPr="00231A20">
        <w:rPr>
          <w:rFonts w:ascii="AdvPTimesB" w:hAnsi="AdvPTimesB" w:cs="AdvPTimesB"/>
          <w:sz w:val="26"/>
          <w:szCs w:val="26"/>
          <w:lang w:val="en-US"/>
        </w:rPr>
        <w:t>The Silver Lining of Materialism: The Impact of Luxury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sz w:val="26"/>
          <w:szCs w:val="26"/>
          <w:lang w:val="en-US"/>
        </w:rPr>
      </w:pPr>
      <w:r w:rsidRPr="00231A20">
        <w:rPr>
          <w:rFonts w:ascii="AdvPTimesB" w:hAnsi="AdvPTimesB" w:cs="AdvPTimesB"/>
          <w:sz w:val="26"/>
          <w:szCs w:val="26"/>
          <w:lang w:val="en-US"/>
        </w:rPr>
        <w:t>Consumption on Subjective Well-Being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sz w:val="19"/>
          <w:szCs w:val="19"/>
          <w:lang w:val="en-US"/>
        </w:rPr>
      </w:pPr>
      <w:proofErr w:type="spellStart"/>
      <w:r w:rsidRPr="00231A20">
        <w:rPr>
          <w:rFonts w:ascii="AdvPTimesB" w:hAnsi="AdvPTimesB" w:cs="AdvPTimesB"/>
          <w:sz w:val="19"/>
          <w:szCs w:val="19"/>
          <w:lang w:val="en-US"/>
        </w:rPr>
        <w:t>Liselot</w:t>
      </w:r>
      <w:proofErr w:type="spellEnd"/>
      <w:r w:rsidRPr="00231A20">
        <w:rPr>
          <w:rFonts w:ascii="AdvPTimesB" w:hAnsi="AdvPTimesB" w:cs="AdvPTimesB"/>
          <w:sz w:val="19"/>
          <w:szCs w:val="19"/>
          <w:lang w:val="en-US"/>
        </w:rPr>
        <w:t xml:space="preserve"> </w:t>
      </w:r>
      <w:proofErr w:type="spellStart"/>
      <w:r w:rsidRPr="00231A20">
        <w:rPr>
          <w:rFonts w:ascii="AdvPTimesB" w:hAnsi="AdvPTimesB" w:cs="AdvPTimesB"/>
          <w:sz w:val="19"/>
          <w:szCs w:val="19"/>
          <w:lang w:val="en-US"/>
        </w:rPr>
        <w:t>Hudders</w:t>
      </w:r>
      <w:proofErr w:type="spellEnd"/>
      <w:r w:rsidRPr="00231A20">
        <w:rPr>
          <w:rFonts w:ascii="AdvPTimesB" w:hAnsi="AdvPTimesB" w:cs="AdvPTimesB"/>
          <w:sz w:val="19"/>
          <w:szCs w:val="19"/>
          <w:lang w:val="en-US"/>
        </w:rPr>
        <w:t xml:space="preserve"> </w:t>
      </w:r>
      <w:r w:rsidRPr="00231A20">
        <w:rPr>
          <w:rFonts w:ascii="AdvNPSTim-B" w:hAnsi="AdvNPSTim-B" w:cs="AdvNPSTim-B"/>
          <w:sz w:val="12"/>
          <w:szCs w:val="12"/>
          <w:lang w:val="en-US"/>
        </w:rPr>
        <w:t xml:space="preserve">• </w:t>
      </w:r>
      <w:r w:rsidRPr="00231A20">
        <w:rPr>
          <w:rFonts w:ascii="AdvPTimesB" w:hAnsi="AdvPTimesB" w:cs="AdvPTimesB"/>
          <w:sz w:val="19"/>
          <w:szCs w:val="19"/>
          <w:lang w:val="en-US"/>
        </w:rPr>
        <w:t xml:space="preserve">Mario </w:t>
      </w:r>
      <w:proofErr w:type="spellStart"/>
      <w:r w:rsidRPr="00231A20">
        <w:rPr>
          <w:rFonts w:ascii="AdvPTimesB" w:hAnsi="AdvPTimesB" w:cs="AdvPTimesB"/>
          <w:sz w:val="19"/>
          <w:szCs w:val="19"/>
          <w:lang w:val="en-US"/>
        </w:rPr>
        <w:t>Pandelaere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6"/>
          <w:szCs w:val="16"/>
          <w:lang w:val="en-US"/>
        </w:rPr>
      </w:pPr>
      <w:r w:rsidRPr="00231A20">
        <w:rPr>
          <w:rFonts w:ascii="AdvPTimes" w:hAnsi="AdvPTimes" w:cs="AdvPTimes"/>
          <w:sz w:val="16"/>
          <w:szCs w:val="16"/>
          <w:lang w:val="en-US"/>
        </w:rPr>
        <w:t>Published online: 4 May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6"/>
          <w:szCs w:val="16"/>
          <w:lang w:val="en-US"/>
        </w:rPr>
      </w:pPr>
      <w:r w:rsidRPr="00231A20">
        <w:rPr>
          <w:rFonts w:ascii="AdvPSSym" w:hAnsi="AdvPSSym" w:cs="AdvPSSym"/>
          <w:sz w:val="16"/>
          <w:szCs w:val="16"/>
          <w:lang w:val="en-US"/>
        </w:rPr>
        <w:t xml:space="preserve">_ </w:t>
      </w:r>
      <w:r w:rsidRPr="00231A20">
        <w:rPr>
          <w:rFonts w:ascii="AdvPTimes" w:hAnsi="AdvPTimes" w:cs="AdvPTimes"/>
          <w:sz w:val="16"/>
          <w:szCs w:val="16"/>
          <w:lang w:val="en-US"/>
        </w:rPr>
        <w:t xml:space="preserve">Springer </w:t>
      </w:r>
      <w:proofErr w:type="spellStart"/>
      <w:r w:rsidRPr="00231A20">
        <w:rPr>
          <w:rFonts w:ascii="AdvPTimes" w:hAnsi="AdvPTimes" w:cs="AdvPTimes"/>
          <w:sz w:val="16"/>
          <w:szCs w:val="16"/>
          <w:lang w:val="en-US"/>
        </w:rPr>
        <w:t>Science+Business</w:t>
      </w:r>
      <w:proofErr w:type="spellEnd"/>
      <w:r w:rsidRPr="00231A20">
        <w:rPr>
          <w:rFonts w:ascii="AdvPTimes" w:hAnsi="AdvPTimes" w:cs="AdvPTimes"/>
          <w:sz w:val="16"/>
          <w:szCs w:val="16"/>
          <w:lang w:val="en-US"/>
        </w:rPr>
        <w:t xml:space="preserve"> Media B.V.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B" w:hAnsi="AdvPTimesB" w:cs="AdvPTimesB"/>
          <w:sz w:val="19"/>
          <w:szCs w:val="19"/>
          <w:lang w:val="en-US"/>
        </w:rPr>
        <w:t xml:space="preserve">Abstract </w:t>
      </w:r>
      <w:r w:rsidRPr="00231A20">
        <w:rPr>
          <w:rFonts w:ascii="AdvPTimes" w:hAnsi="AdvPTimes" w:cs="AdvPTimes"/>
          <w:sz w:val="19"/>
          <w:szCs w:val="19"/>
          <w:lang w:val="en-US"/>
        </w:rPr>
        <w:t>Materialism is a way of life characterized by the pursuit of wealth and possessions.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Several studies have documented that a materialistic lifestyle is associated with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diminished subjective well-being. In spite of this, many people continue to pursue materialistic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goals rather than pursue goals that are more beneficial for their well-being. The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current paper investigates one mechanism that may contribute to the continued pursuit of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materialism. In particular, we propose that luxury consumption may reinforce a materialistic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lifestyle. To test this possibility, we investigate the relations between luxury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consumption, materialism and cognitive and affective subjective well-being aspects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simultaneously, in a structural model. The results of a large scale survey in Dutch-speaking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Belgium demonstrate that materialistic consumers are more inclined to consume luxury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goods than less materialistic consumers. In addition, luxury consumption leads to enhanced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positive mood, diminished negative mood and increased satisfaction with life. Furthermore,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although the impact on negative and positive mood is not moderated by materialism,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the impact of luxury consumption on satisfaction with life is more pronounced for materialistic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consumers than for less materialistic consumers. Together, these results indicate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that materialistic consumers not only engage more in luxury consumption than less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materialistic consumers, but also benefit more from it (at least in the short run). As a result,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luxury consumption may be more rewarding for the former than for the latter and consequently,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‘‘lock in’’ materialists in their lifestyle, irrespective of the long-term adverse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19"/>
          <w:szCs w:val="19"/>
          <w:lang w:val="en-US"/>
        </w:rPr>
      </w:pPr>
      <w:r w:rsidRPr="00231A20">
        <w:rPr>
          <w:rFonts w:ascii="AdvPTimes" w:hAnsi="AdvPTimes" w:cs="AdvPTimes"/>
          <w:sz w:val="19"/>
          <w:szCs w:val="19"/>
          <w:lang w:val="en-US"/>
        </w:rPr>
        <w:t>consequences for self and society.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sz w:val="19"/>
          <w:szCs w:val="19"/>
          <w:lang w:val="en-US"/>
        </w:rPr>
      </w:pPr>
      <w:r w:rsidRPr="00E4274D">
        <w:rPr>
          <w:rFonts w:ascii="AdvPTimesB" w:hAnsi="AdvPTimesB" w:cs="AdvPTimesB"/>
          <w:sz w:val="19"/>
          <w:szCs w:val="19"/>
          <w:lang w:val="en-US"/>
        </w:rPr>
        <w:t xml:space="preserve"> </w:t>
      </w:r>
    </w:p>
    <w:p w:rsidR="00231A20" w:rsidRPr="00E4274D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TimesB" w:hAnsi="AdvPTimesB" w:cs="AdvPTimesB"/>
          <w:sz w:val="19"/>
          <w:szCs w:val="19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131413"/>
          <w:sz w:val="26"/>
          <w:szCs w:val="26"/>
          <w:lang w:val="en-US"/>
        </w:rPr>
      </w:pPr>
      <w:r w:rsidRPr="00231A20">
        <w:rPr>
          <w:rFonts w:ascii="AdvTTb8864ccf.B" w:hAnsi="AdvTTb8864ccf.B" w:cs="AdvTTb8864ccf.B"/>
          <w:color w:val="131413"/>
          <w:sz w:val="26"/>
          <w:szCs w:val="26"/>
          <w:lang w:val="en-US"/>
        </w:rPr>
        <w:t>Construal-level mind-sets and the perceived validity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131413"/>
          <w:sz w:val="26"/>
          <w:szCs w:val="26"/>
          <w:lang w:val="en-US"/>
        </w:rPr>
      </w:pPr>
      <w:r w:rsidRPr="00231A20">
        <w:rPr>
          <w:rFonts w:ascii="AdvTTb8864ccf.B" w:hAnsi="AdvTTb8864ccf.B" w:cs="AdvTTb8864ccf.B"/>
          <w:color w:val="131413"/>
          <w:sz w:val="26"/>
          <w:szCs w:val="26"/>
          <w:lang w:val="en-US"/>
        </w:rPr>
        <w:t>of marketing claims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0005" w:hAnsi="AdvP0005" w:cs="AdvP0005"/>
          <w:color w:val="131413"/>
          <w:sz w:val="16"/>
          <w:szCs w:val="16"/>
          <w:lang w:val="en-US"/>
        </w:rPr>
      </w:pP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Scott Wright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 xml:space="preserve">&amp; </w:t>
      </w: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Chris </w:t>
      </w:r>
      <w:proofErr w:type="spellStart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>Manolis</w:t>
      </w:r>
      <w:proofErr w:type="spellEnd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 xml:space="preserve">&amp; </w:t>
      </w: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Drew Brown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>&amp;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P0005" w:hAnsi="AdvP0005" w:cs="AdvP0005"/>
          <w:color w:val="131413"/>
          <w:sz w:val="16"/>
          <w:szCs w:val="16"/>
          <w:lang w:val="en-US"/>
        </w:rPr>
      </w:pPr>
      <w:proofErr w:type="spellStart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>Xiaoning</w:t>
      </w:r>
      <w:proofErr w:type="spellEnd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 </w:t>
      </w:r>
      <w:proofErr w:type="spellStart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>Guo</w:t>
      </w:r>
      <w:proofErr w:type="spellEnd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 xml:space="preserve">&amp; </w:t>
      </w: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John </w:t>
      </w:r>
      <w:proofErr w:type="spellStart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>Dinsmore</w:t>
      </w:r>
      <w:proofErr w:type="spellEnd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 xml:space="preserve">&amp; </w:t>
      </w: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C.-Y. Peter Chiu </w:t>
      </w:r>
      <w:r w:rsidRPr="00231A20">
        <w:rPr>
          <w:rFonts w:ascii="AdvP0005" w:hAnsi="AdvP0005" w:cs="AdvP0005"/>
          <w:color w:val="131413"/>
          <w:sz w:val="16"/>
          <w:szCs w:val="16"/>
          <w:lang w:val="en-US"/>
        </w:rPr>
        <w:t>&amp;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131413"/>
          <w:sz w:val="20"/>
          <w:szCs w:val="20"/>
          <w:lang w:val="en-US"/>
        </w:rPr>
      </w:pP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Frank R. </w:t>
      </w:r>
      <w:proofErr w:type="spellStart"/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>Kardes</w:t>
      </w:r>
      <w:proofErr w:type="spellEnd"/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16"/>
          <w:szCs w:val="16"/>
          <w:lang w:val="en-US"/>
        </w:rPr>
      </w:pPr>
      <w:r w:rsidRPr="00231A20">
        <w:rPr>
          <w:rFonts w:ascii="AdvTT3713a231" w:hAnsi="AdvTT3713a231" w:cs="AdvTT3713a231"/>
          <w:color w:val="131413"/>
          <w:sz w:val="16"/>
          <w:szCs w:val="16"/>
          <w:lang w:val="en-US"/>
        </w:rPr>
        <w:t>Published online: 3 November 2011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16"/>
          <w:szCs w:val="16"/>
          <w:lang w:val="en-US"/>
        </w:rPr>
      </w:pPr>
      <w:r w:rsidRPr="00231A20">
        <w:rPr>
          <w:rFonts w:ascii="AdvPi3" w:hAnsi="AdvPi3" w:cs="AdvPi3"/>
          <w:color w:val="131413"/>
          <w:sz w:val="16"/>
          <w:szCs w:val="16"/>
          <w:lang w:val="en-US"/>
        </w:rPr>
        <w:t xml:space="preserve"># </w:t>
      </w:r>
      <w:r w:rsidRPr="00231A20">
        <w:rPr>
          <w:rFonts w:ascii="AdvTT3713a231" w:hAnsi="AdvTT3713a231" w:cs="AdvTT3713a231"/>
          <w:color w:val="131413"/>
          <w:sz w:val="16"/>
          <w:szCs w:val="16"/>
          <w:lang w:val="en-US"/>
        </w:rPr>
        <w:t xml:space="preserve">Springer </w:t>
      </w:r>
      <w:proofErr w:type="spellStart"/>
      <w:r w:rsidRPr="00231A20">
        <w:rPr>
          <w:rFonts w:ascii="AdvTT3713a231" w:hAnsi="AdvTT3713a231" w:cs="AdvTT3713a231"/>
          <w:color w:val="131413"/>
          <w:sz w:val="16"/>
          <w:szCs w:val="16"/>
          <w:lang w:val="en-US"/>
        </w:rPr>
        <w:t>Science+Business</w:t>
      </w:r>
      <w:proofErr w:type="spellEnd"/>
      <w:r w:rsidRPr="00231A20">
        <w:rPr>
          <w:rFonts w:ascii="AdvTT3713a231" w:hAnsi="AdvTT3713a231" w:cs="AdvTT3713a231"/>
          <w:color w:val="131413"/>
          <w:sz w:val="16"/>
          <w:szCs w:val="16"/>
          <w:lang w:val="en-US"/>
        </w:rPr>
        <w:t xml:space="preserve"> Media, LLC 2011</w:t>
      </w:r>
    </w:p>
    <w:p w:rsidR="00F04AEB" w:rsidRDefault="00F04AEB" w:rsidP="00231A20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131413"/>
          <w:sz w:val="20"/>
          <w:szCs w:val="20"/>
          <w:lang w:val="en-US"/>
        </w:rPr>
      </w:pP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b8864ccf.B" w:hAnsi="AdvTTb8864ccf.B" w:cs="AdvTTb8864ccf.B"/>
          <w:color w:val="131413"/>
          <w:sz w:val="20"/>
          <w:szCs w:val="20"/>
          <w:lang w:val="en-US"/>
        </w:rPr>
        <w:t xml:space="preserve">Abstract </w:t>
      </w: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Prior research shows that the repetition of unfamiliar statements increases their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subjective truthfulness. The present research shows that truth ratings can also be increased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without repetition. Several different manipulations of low-construal-level mind-sets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increased the perceived validity of a wide variety of marketing claims across a broad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 xml:space="preserve">spectrum of products and </w:t>
      </w:r>
      <w:proofErr w:type="spellStart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industries.Mismatched</w:t>
      </w:r>
      <w:proofErr w:type="spellEnd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 xml:space="preserve"> </w:t>
      </w:r>
      <w:proofErr w:type="spellStart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construals</w:t>
      </w:r>
      <w:proofErr w:type="spellEnd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 xml:space="preserve"> reduced this effect. The results</w:t>
      </w:r>
    </w:p>
    <w:p w:rsidR="00231A20" w:rsidRP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 xml:space="preserve">suggest that concrete </w:t>
      </w:r>
      <w:proofErr w:type="spellStart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construals</w:t>
      </w:r>
      <w:proofErr w:type="spellEnd"/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 xml:space="preserve"> enhance truth ratings when consumers focus on their</w:t>
      </w:r>
    </w:p>
    <w:p w:rsidR="00231A20" w:rsidRDefault="00231A20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 w:rsidRPr="00231A20">
        <w:rPr>
          <w:rFonts w:ascii="AdvTT3713a231" w:hAnsi="AdvTT3713a231" w:cs="AdvTT3713a231"/>
          <w:color w:val="131413"/>
          <w:sz w:val="20"/>
          <w:szCs w:val="20"/>
          <w:lang w:val="en-US"/>
        </w:rPr>
        <w:t>intuitive feelings and impressions but not when they process marketing claims analytically.</w:t>
      </w:r>
    </w:p>
    <w:p w:rsidR="00F04AEB" w:rsidRDefault="00F04AEB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</w:p>
    <w:p w:rsidR="00E4274D" w:rsidRDefault="00E4274D">
      <w:pPr>
        <w:rPr>
          <w:rFonts w:ascii="AdvTT3713a231" w:hAnsi="AdvTT3713a231" w:cs="AdvTT3713a231"/>
          <w:color w:val="131413"/>
          <w:sz w:val="20"/>
          <w:szCs w:val="20"/>
          <w:lang w:val="en-US"/>
        </w:rPr>
      </w:pPr>
      <w:r>
        <w:rPr>
          <w:rFonts w:ascii="AdvTT3713a231" w:hAnsi="AdvTT3713a231" w:cs="AdvTT3713a231"/>
          <w:color w:val="131413"/>
          <w:sz w:val="20"/>
          <w:szCs w:val="20"/>
          <w:lang w:val="en-US"/>
        </w:rPr>
        <w:br w:type="page"/>
      </w:r>
    </w:p>
    <w:p w:rsidR="00F04AEB" w:rsidRDefault="00F04AEB" w:rsidP="00231A20">
      <w:pPr>
        <w:autoSpaceDE w:val="0"/>
        <w:autoSpaceDN w:val="0"/>
        <w:adjustRightInd w:val="0"/>
        <w:spacing w:after="0" w:line="240" w:lineRule="auto"/>
        <w:rPr>
          <w:rFonts w:ascii="AdvTT3713a231" w:hAnsi="AdvTT3713a231" w:cs="AdvTT3713a231"/>
          <w:color w:val="131413"/>
          <w:sz w:val="20"/>
          <w:szCs w:val="20"/>
          <w:lang w:val="en-US"/>
        </w:rPr>
      </w:pP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32"/>
          <w:szCs w:val="32"/>
          <w:lang w:val="en-US" w:eastAsia="it-IT"/>
        </w:rPr>
      </w:pPr>
      <w:r w:rsidRPr="00F04AEB">
        <w:rPr>
          <w:rFonts w:ascii="Arial" w:eastAsia="Times New Roman" w:hAnsi="Arial" w:cs="Arial"/>
          <w:sz w:val="32"/>
          <w:szCs w:val="32"/>
          <w:lang w:val="en-US" w:eastAsia="it-IT"/>
        </w:rPr>
        <w:t>Money and Thinking: Reminders of Money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32"/>
          <w:szCs w:val="32"/>
          <w:lang w:val="en-US" w:eastAsia="it-IT"/>
        </w:rPr>
      </w:pPr>
      <w:r w:rsidRPr="00F04AEB">
        <w:rPr>
          <w:rFonts w:ascii="Arial" w:eastAsia="Times New Roman" w:hAnsi="Arial" w:cs="Arial"/>
          <w:sz w:val="32"/>
          <w:szCs w:val="32"/>
          <w:lang w:val="en-US" w:eastAsia="it-IT"/>
        </w:rPr>
        <w:t>Trigger Abstract Construal and Shape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32"/>
          <w:szCs w:val="32"/>
          <w:lang w:val="en-US" w:eastAsia="it-IT"/>
        </w:rPr>
      </w:pPr>
      <w:r w:rsidRPr="00F04AEB">
        <w:rPr>
          <w:rFonts w:ascii="Arial" w:eastAsia="Times New Roman" w:hAnsi="Arial" w:cs="Arial"/>
          <w:sz w:val="32"/>
          <w:szCs w:val="32"/>
          <w:lang w:val="en-US" w:eastAsia="it-IT"/>
        </w:rPr>
        <w:t>Consumer Judgments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9"/>
          <w:szCs w:val="19"/>
          <w:lang w:val="en-US" w:eastAsia="it-IT"/>
        </w:rPr>
      </w:pPr>
      <w:r w:rsidRPr="00F04AEB">
        <w:rPr>
          <w:rFonts w:ascii="Arial" w:eastAsia="Times New Roman" w:hAnsi="Arial" w:cs="Arial"/>
          <w:sz w:val="19"/>
          <w:szCs w:val="19"/>
          <w:lang w:val="en-US" w:eastAsia="it-IT"/>
        </w:rPr>
        <w:t>JOCHIM HANSEN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9"/>
          <w:szCs w:val="19"/>
          <w:lang w:val="en-US" w:eastAsia="it-IT"/>
        </w:rPr>
      </w:pPr>
      <w:r w:rsidRPr="00F04AEB">
        <w:rPr>
          <w:rFonts w:ascii="Arial" w:eastAsia="Times New Roman" w:hAnsi="Arial" w:cs="Arial"/>
          <w:sz w:val="19"/>
          <w:szCs w:val="19"/>
          <w:lang w:val="en-US" w:eastAsia="it-IT"/>
        </w:rPr>
        <w:t>FLORIAN KUTZNER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9"/>
          <w:szCs w:val="19"/>
          <w:lang w:val="en-US" w:eastAsia="it-IT"/>
        </w:rPr>
      </w:pPr>
      <w:r w:rsidRPr="00F04AEB">
        <w:rPr>
          <w:rFonts w:ascii="Arial" w:eastAsia="Times New Roman" w:hAnsi="Arial" w:cs="Arial"/>
          <w:sz w:val="19"/>
          <w:szCs w:val="19"/>
          <w:lang w:val="en-US" w:eastAsia="it-IT"/>
        </w:rPr>
        <w:t>MICHAELA WANKE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The idea of money reminds consumers of personal strength and resources. Such cues have been found to increase the level of mental construal. Consequently, it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 xml:space="preserve">was hypothesized and found in five experiments that reminders of money trigger abstract (vs. concrete) mental </w:t>
      </w:r>
      <w:proofErr w:type="spellStart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construals</w:t>
      </w:r>
      <w:proofErr w:type="spellEnd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. Participants were primed with money or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money-unrelated concepts. Money primes caused a preference for abstract over concrete action identifications (experiment 1), instigated the formation of broader</w:t>
      </w:r>
    </w:p>
    <w:p w:rsidR="00F04AEB" w:rsidRDefault="00F04AEB" w:rsidP="00F04AE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 xml:space="preserve">categories (experiment 2), and facilitated the identification of global (vs. local) aspects of visual patterns (experiment 3). This effect extended to consumer judgments: money primes caused a focus on central (vs. peripheral) aspects of products(experiment 4) and increased the influence of quality of parent brands in evaluations of brand extensions. Priming with a little money (experiment 3) or ex </w:t>
      </w:r>
      <w:proofErr w:type="spellStart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penditures</w:t>
      </w:r>
      <w:proofErr w:type="spellEnd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 xml:space="preserve">(experiment 5) did not trigger abstract </w:t>
      </w:r>
      <w:proofErr w:type="spellStart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construals</w:t>
      </w:r>
      <w:proofErr w:type="spellEnd"/>
      <w:r w:rsidRPr="00F04AEB">
        <w:rPr>
          <w:rFonts w:ascii="Arial" w:eastAsia="Times New Roman" w:hAnsi="Arial" w:cs="Arial"/>
          <w:sz w:val="16"/>
          <w:szCs w:val="16"/>
          <w:lang w:val="en-US" w:eastAsia="it-IT"/>
        </w:rPr>
        <w:t>, indicating that the association between money and resources drives the effect</w:t>
      </w:r>
    </w:p>
    <w:p w:rsidR="00F04AEB" w:rsidRDefault="00F04AEB" w:rsidP="00F04AEB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it-IT"/>
        </w:rPr>
      </w:pPr>
    </w:p>
    <w:p w:rsidR="00F04AEB" w:rsidRDefault="00F04AEB">
      <w:pPr>
        <w:rPr>
          <w:rFonts w:ascii="Arial" w:eastAsia="Times New Roman" w:hAnsi="Arial" w:cs="Arial"/>
          <w:sz w:val="16"/>
          <w:szCs w:val="16"/>
          <w:lang w:val="en-US" w:eastAsia="it-IT"/>
        </w:rPr>
      </w:pPr>
      <w:r>
        <w:rPr>
          <w:rFonts w:ascii="Arial" w:eastAsia="Times New Roman" w:hAnsi="Arial" w:cs="Arial"/>
          <w:sz w:val="16"/>
          <w:szCs w:val="16"/>
          <w:lang w:val="en-US" w:eastAsia="it-IT"/>
        </w:rPr>
        <w:br w:type="page"/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34"/>
          <w:szCs w:val="34"/>
          <w:lang w:val="en-US" w:eastAsia="it-IT"/>
        </w:rPr>
        <w:t>Motivating consumer behavior by subliminal conditioning in the absence of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34"/>
          <w:szCs w:val="34"/>
          <w:lang w:val="en-US" w:eastAsia="it-IT"/>
        </w:rPr>
        <w:t>basic needs: Striking even while the iron is cold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</w:pPr>
      <w:proofErr w:type="spellStart"/>
      <w:r w:rsidRPr="00E4274D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Martijn</w:t>
      </w:r>
      <w:proofErr w:type="spellEnd"/>
      <w:r w:rsidRPr="00E4274D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 </w:t>
      </w:r>
      <w:proofErr w:type="spellStart"/>
      <w:r w:rsidRPr="00E4274D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Veltkamp</w:t>
      </w:r>
      <w:proofErr w:type="spellEnd"/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a,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F04AEB">
        <w:rPr>
          <w:rFonts w:ascii="Arial" w:eastAsia="Times New Roman" w:hAnsi="Arial" w:cs="Arial"/>
          <w:sz w:val="24"/>
          <w:szCs w:val="24"/>
          <w:lang w:val="en-US" w:eastAsia="it-IT"/>
        </w:rPr>
        <w:t>⁎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, </w:t>
      </w:r>
      <w:proofErr w:type="spellStart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Ruud</w:t>
      </w:r>
      <w:proofErr w:type="spellEnd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 </w:t>
      </w:r>
      <w:proofErr w:type="spellStart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Custers</w:t>
      </w:r>
      <w:proofErr w:type="spellEnd"/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b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, </w:t>
      </w:r>
      <w:proofErr w:type="spellStart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Henk</w:t>
      </w:r>
      <w:proofErr w:type="spellEnd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 </w:t>
      </w:r>
      <w:proofErr w:type="spellStart"/>
      <w:r w:rsidRPr="00F04AEB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Aarts</w:t>
      </w:r>
      <w:proofErr w:type="spellEnd"/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b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  <w:t>a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 xml:space="preserve">University of </w:t>
      </w:r>
      <w:proofErr w:type="spellStart"/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Twente</w:t>
      </w:r>
      <w:proofErr w:type="spellEnd"/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 xml:space="preserve">, Department of Marketing Communication and Consumer Psychology, PO Box 217, 7500AE </w:t>
      </w:r>
      <w:proofErr w:type="spellStart"/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Enschede</w:t>
      </w:r>
      <w:proofErr w:type="spellEnd"/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, The Netherlands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  <w:t>b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Utrecht University, Department of Social Psychology, PO Box 80140, 3508 TC, Utrecht, The Netherlands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Received 30 December 2009; revised 25 August 2010; accepted 21 September 2010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Available online 15 October 2010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t-IT"/>
        </w:rPr>
      </w:pPr>
      <w:r w:rsidRPr="00F04AEB">
        <w:rPr>
          <w:rFonts w:ascii="Arial" w:eastAsia="Times New Roman" w:hAnsi="Arial" w:cs="Arial"/>
          <w:sz w:val="18"/>
          <w:szCs w:val="18"/>
          <w:lang w:val="en-US" w:eastAsia="it-IT"/>
        </w:rPr>
        <w:t>Abstract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Previous research suggests that priming of behavioral concepts (e.g., drinking water) motivates consumers outside conscious awareness, but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only if primes match a current need (e.g., fluid deprivation). The present article reports two studies testing whether subliminal conditioning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(subliminally priming a behavioral concept and linking it to positive affect) can motivate such need-related behaviors even in the absence of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deprivation. Both studies showed an interaction effect: Motivation to drink water increased with fluid deprivation, and subliminally conditioning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drinking water more positive only motivated drinking in the absence of deprivation. Furthermore, Study 2 suggests that motivation resulting from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conditioning is more specific than following deprivation, as only the latter can be reduced by pursuing alternative behaviors (i.e., eating high-liquid foods). Thus, although traditionally the motivation for need-related behaviors is thought to depend on deprivation, this research shows</w:t>
      </w:r>
      <w:r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subliminal conditioning can motivate consumers as if they were deprived</w:t>
      </w: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231F20"/>
          <w:sz w:val="34"/>
          <w:szCs w:val="34"/>
          <w:lang w:val="en-US"/>
        </w:rPr>
      </w:pPr>
      <w:r w:rsidRPr="00F04AEB">
        <w:rPr>
          <w:rFonts w:ascii="AdvTT6120e2aa" w:hAnsi="AdvTT6120e2aa" w:cs="AdvTT6120e2aa"/>
          <w:color w:val="231F20"/>
          <w:sz w:val="34"/>
          <w:szCs w:val="34"/>
          <w:lang w:val="en-US"/>
        </w:rPr>
        <w:t>Identity-based motivation: Implications for action-readiness,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231F20"/>
          <w:sz w:val="34"/>
          <w:szCs w:val="34"/>
          <w:lang w:val="en-US"/>
        </w:rPr>
      </w:pPr>
      <w:r w:rsidRPr="00F04AEB">
        <w:rPr>
          <w:rFonts w:ascii="AdvTT6120e2aa" w:hAnsi="AdvTT6120e2aa" w:cs="AdvTT6120e2aa"/>
          <w:color w:val="231F20"/>
          <w:sz w:val="34"/>
          <w:szCs w:val="34"/>
          <w:lang w:val="en-US"/>
        </w:rPr>
        <w:t>procedural-readiness, and consumer behavior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231F20"/>
          <w:sz w:val="26"/>
          <w:szCs w:val="26"/>
          <w:lang w:val="en-US"/>
        </w:rPr>
      </w:pPr>
      <w:r w:rsidRPr="00F04AEB">
        <w:rPr>
          <w:rFonts w:ascii="AdvTT6120e2aa" w:hAnsi="AdvTT6120e2aa" w:cs="AdvTT6120e2aa"/>
          <w:color w:val="231F20"/>
          <w:sz w:val="26"/>
          <w:szCs w:val="26"/>
          <w:lang w:val="en-US"/>
        </w:rPr>
        <w:t xml:space="preserve">Daphna </w:t>
      </w:r>
      <w:proofErr w:type="spellStart"/>
      <w:r w:rsidRPr="00F04AEB">
        <w:rPr>
          <w:rFonts w:ascii="AdvTT6120e2aa" w:hAnsi="AdvTT6120e2aa" w:cs="AdvTT6120e2aa"/>
          <w:color w:val="231F20"/>
          <w:sz w:val="26"/>
          <w:szCs w:val="26"/>
          <w:lang w:val="en-US"/>
        </w:rPr>
        <w:t>Oyserman</w:t>
      </w:r>
      <w:proofErr w:type="spellEnd"/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50a2f13e.I" w:hAnsi="AdvTT50a2f13e.I" w:cs="AdvTT50a2f13e.I"/>
          <w:color w:val="231F20"/>
          <w:sz w:val="16"/>
          <w:szCs w:val="16"/>
          <w:lang w:val="en-US"/>
        </w:rPr>
      </w:pPr>
      <w:r w:rsidRPr="00F04AEB">
        <w:rPr>
          <w:rFonts w:ascii="AdvTT50a2f13e.I" w:hAnsi="AdvTT50a2f13e.I" w:cs="AdvTT50a2f13e.I"/>
          <w:color w:val="231F20"/>
          <w:sz w:val="16"/>
          <w:szCs w:val="16"/>
          <w:lang w:val="en-US"/>
        </w:rPr>
        <w:t>Institute for Social Research, University of Michigan, Ann Arbor, MI 48106-1248, USA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231F20"/>
          <w:sz w:val="16"/>
          <w:szCs w:val="16"/>
          <w:lang w:val="en-US"/>
        </w:rPr>
      </w:pPr>
      <w:r w:rsidRPr="00F04AEB">
        <w:rPr>
          <w:rFonts w:ascii="AdvTT6120e2aa" w:hAnsi="AdvTT6120e2aa" w:cs="AdvTT6120e2aa"/>
          <w:color w:val="231F20"/>
          <w:sz w:val="16"/>
          <w:szCs w:val="16"/>
          <w:lang w:val="en-US"/>
        </w:rPr>
        <w:t>Available online 25 June 2009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231F20"/>
          <w:sz w:val="18"/>
          <w:szCs w:val="18"/>
          <w:lang w:val="en-US"/>
        </w:rPr>
      </w:pPr>
      <w:r w:rsidRPr="00F04AEB">
        <w:rPr>
          <w:rFonts w:ascii="AdvTTb8864ccf.B" w:hAnsi="AdvTTb8864ccf.B" w:cs="AdvTTb8864ccf.B"/>
          <w:color w:val="231F20"/>
          <w:sz w:val="18"/>
          <w:szCs w:val="18"/>
          <w:lang w:val="en-US"/>
        </w:rPr>
        <w:t>Abstract</w:t>
      </w:r>
    </w:p>
    <w:p w:rsidR="00F04AEB" w:rsidRPr="00E4274D" w:rsidRDefault="00F04AEB" w:rsidP="00E4274D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231F20"/>
          <w:sz w:val="18"/>
          <w:szCs w:val="18"/>
          <w:lang w:val="en-US"/>
        </w:rPr>
      </w:pPr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Choices are often identity-based but the linkage to identity is not necessarily explicit or obvious for a number of reasons. First, identities feel</w:t>
      </w:r>
      <w:r w:rsid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</w:t>
      </w:r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stable but are highly sensitive to situational cues. Second, identities include not only content but also readiness to act and to use procedures</w:t>
      </w:r>
      <w:r w:rsid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</w:t>
      </w:r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congruent with the identity. Third, identities can be subtly cued without conscious awareness. Fourth, what an accessible identity means is</w:t>
      </w:r>
      <w:r w:rsid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</w:t>
      </w:r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dynamically constructed in the particular context in which it is cued. Because identities carry action- and procedural-readiness, the outcome of an</w:t>
      </w:r>
      <w:r w:rsid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</w:t>
      </w:r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identity-based motivation process may be similar to or different from the choices an individual would have made in another setting. </w:t>
      </w:r>
      <w:proofErr w:type="spellStart"/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Moreover,once</w:t>
      </w:r>
      <w:proofErr w:type="spellEnd"/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an identity is formed, action and procedural-readiness can be </w:t>
      </w:r>
      <w:proofErr w:type="spellStart"/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>cued</w:t>
      </w:r>
      <w:proofErr w:type="spellEnd"/>
      <w:r w:rsidRPr="00F04AEB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without conscious awareness or systematic processing, resulting in</w:t>
      </w:r>
      <w:r w:rsid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 xml:space="preserve"> </w:t>
      </w:r>
      <w:r w:rsidRPr="00E4274D">
        <w:rPr>
          <w:rFonts w:ascii="AdvTT6120e2aa" w:hAnsi="AdvTT6120e2aa" w:cs="AdvTT6120e2aa"/>
          <w:color w:val="231F20"/>
          <w:sz w:val="18"/>
          <w:szCs w:val="18"/>
          <w:lang w:val="en-US"/>
        </w:rPr>
        <w:t>beneficial or iatrogenic outcomes.</w:t>
      </w:r>
    </w:p>
    <w:p w:rsidR="00E4274D" w:rsidRDefault="00E4274D">
      <w:pPr>
        <w:rPr>
          <w:rFonts w:ascii="AdvTT6120e2aa" w:hAnsi="AdvTT6120e2aa" w:cs="AdvTT6120e2aa"/>
          <w:color w:val="231F20"/>
          <w:sz w:val="18"/>
          <w:szCs w:val="18"/>
          <w:lang w:val="en-US"/>
        </w:rPr>
      </w:pPr>
      <w:r>
        <w:rPr>
          <w:rFonts w:ascii="AdvTT6120e2aa" w:hAnsi="AdvTT6120e2aa" w:cs="AdvTT6120e2aa"/>
          <w:color w:val="231F20"/>
          <w:sz w:val="18"/>
          <w:szCs w:val="18"/>
          <w:lang w:val="en-US"/>
        </w:rPr>
        <w:br w:type="page"/>
      </w:r>
    </w:p>
    <w:p w:rsidR="00F04AEB" w:rsidRPr="00E4274D" w:rsidRDefault="00F04AEB" w:rsidP="00F04AEB">
      <w:pPr>
        <w:spacing w:after="0" w:line="240" w:lineRule="auto"/>
        <w:rPr>
          <w:rFonts w:ascii="AdvTT6120e2aa" w:hAnsi="AdvTT6120e2aa" w:cs="AdvTT6120e2aa"/>
          <w:color w:val="231F20"/>
          <w:sz w:val="18"/>
          <w:szCs w:val="18"/>
          <w:lang w:val="en-US"/>
        </w:rPr>
      </w:pPr>
    </w:p>
    <w:p w:rsidR="00E4274D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</w:pPr>
      <w:r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The benefits of</w:t>
      </w:r>
      <w:r w:rsidR="00E4274D"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sleeping on things: Unconscious thought leads to</w:t>
      </w:r>
      <w:r w:rsidR="00E4274D"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automatic weighting</w:t>
      </w:r>
      <w:r w:rsidR="00E4274D"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 xml:space="preserve"> 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Maarten W.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Bos</w:t>
      </w:r>
      <w:proofErr w:type="spellEnd"/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Ap</w:t>
      </w:r>
      <w:proofErr w:type="spellEnd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Dijksterhuis</w:t>
      </w:r>
      <w:proofErr w:type="spellEnd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, Rick B. van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Baaren</w:t>
      </w:r>
      <w:proofErr w:type="spellEnd"/>
    </w:p>
    <w:p w:rsidR="00F04AEB" w:rsidRPr="00F04AEB" w:rsidRDefault="00E4274D" w:rsidP="00F04AEB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  <w:t xml:space="preserve"> 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it-IT"/>
        </w:rPr>
      </w:pPr>
      <w:r w:rsidRPr="00F04AEB">
        <w:rPr>
          <w:rFonts w:ascii="Arial" w:eastAsia="Times New Roman" w:hAnsi="Arial" w:cs="Arial"/>
          <w:sz w:val="12"/>
          <w:szCs w:val="12"/>
          <w:lang w:val="en-US" w:eastAsia="it-IT"/>
        </w:rPr>
        <w:t>Abstract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We tested and confirmed the hypothesis that unconscious thought leads to an automatic weighting process whereby important decision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attributes receive more weight, and unimportant decision attributes receive less weight. In three experiments, participants chose between cars with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few important positive attributes and many unimportant negative attributes (Quality cars), and cars with many unimportant positive attributes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few important negative attributes (Frequency cars). In all experiments, unconscious thinkers showed a stronger preference for Quality cars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than immediate decision makers, showing that unconscious thought indeed evokes an automatic weighting process. An alternative explanation is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refuted and implications are discussed.</w:t>
      </w:r>
    </w:p>
    <w:p w:rsidR="00F04AEB" w:rsidRPr="00E4274D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</w:pPr>
      <w:r w:rsidRPr="00F04AEB"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  <w:t>Presence of Various Figurative Cues on a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</w:pPr>
      <w:r w:rsidRPr="00F04AEB"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  <w:t>Restaurant Table and Consumer Choice: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</w:pPr>
      <w:r w:rsidRPr="00F04AEB">
        <w:rPr>
          <w:rFonts w:ascii="Garamond-Bold" w:hAnsi="Garamond-Bold" w:cs="Garamond-Bold"/>
          <w:b/>
          <w:bCs/>
          <w:color w:val="231F20"/>
          <w:sz w:val="32"/>
          <w:szCs w:val="32"/>
          <w:lang w:val="en-US"/>
        </w:rPr>
        <w:t>Evidence for an Associative Link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" w:hAnsi="Garamond-Light" w:cs="Garamond-Light"/>
          <w:color w:val="231F20"/>
          <w:lang w:val="en-US"/>
        </w:rPr>
      </w:pPr>
      <w:r w:rsidRPr="00F04AEB">
        <w:rPr>
          <w:rFonts w:ascii="Garamond-Light" w:hAnsi="Garamond-Light" w:cs="Garamond-Light"/>
          <w:color w:val="231F20"/>
          <w:lang w:val="en-US"/>
        </w:rPr>
        <w:t>CÉLINE JACOB, NICOLAS GUÉGUEN, and GAËLLE BOULBRY</w:t>
      </w:r>
    </w:p>
    <w:p w:rsid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</w:pPr>
      <w:proofErr w:type="spellStart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>Département</w:t>
      </w:r>
      <w:proofErr w:type="spellEnd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 xml:space="preserve"> TC, </w:t>
      </w:r>
      <w:proofErr w:type="spellStart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>Laboratoire</w:t>
      </w:r>
      <w:proofErr w:type="spellEnd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 xml:space="preserve"> LESTIC, </w:t>
      </w:r>
      <w:proofErr w:type="spellStart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>Université</w:t>
      </w:r>
      <w:proofErr w:type="spellEnd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 xml:space="preserve"> de </w:t>
      </w:r>
      <w:proofErr w:type="spellStart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>Bretagne-Sud</w:t>
      </w:r>
      <w:proofErr w:type="spellEnd"/>
      <w:r>
        <w:rPr>
          <w:rFonts w:ascii="Garamond-LightItalic" w:hAnsi="Garamond-LightItalic" w:cs="Garamond-LightItalic"/>
          <w:i/>
          <w:iCs/>
          <w:color w:val="231F20"/>
          <w:sz w:val="20"/>
          <w:szCs w:val="20"/>
        </w:rPr>
        <w:t>,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  <w:t xml:space="preserve">IUT de </w:t>
      </w:r>
      <w:proofErr w:type="spellStart"/>
      <w:r w:rsidRPr="00F04AEB"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  <w:t>Vannes</w:t>
      </w:r>
      <w:proofErr w:type="spellEnd"/>
      <w:r w:rsidRPr="00F04AEB"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  <w:t xml:space="preserve">, </w:t>
      </w:r>
      <w:proofErr w:type="spellStart"/>
      <w:r w:rsidRPr="00F04AEB"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  <w:t>Vannes</w:t>
      </w:r>
      <w:proofErr w:type="spellEnd"/>
      <w:r w:rsidRPr="00F04AEB">
        <w:rPr>
          <w:rFonts w:ascii="Garamond-LightItalic" w:hAnsi="Garamond-LightItalic" w:cs="Garamond-LightItalic"/>
          <w:i/>
          <w:iCs/>
          <w:color w:val="231F20"/>
          <w:sz w:val="20"/>
          <w:szCs w:val="20"/>
          <w:lang w:val="en-US"/>
        </w:rPr>
        <w:t>, France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Some studies have shown that figurative cues, presented in the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immediate environment of an individual, have affected his</w:t>
      </w:r>
      <w:r w:rsidRPr="00F04AEB">
        <w:rPr>
          <w:rFonts w:ascii="RMTMI" w:hAnsi="RMTMI" w:cs="RMTMI"/>
          <w:i/>
          <w:iCs/>
          <w:color w:val="231F20"/>
          <w:lang w:val="en-US"/>
        </w:rPr>
        <w:t>/</w:t>
      </w: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her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later behavior. This effect was applied to consumer behavior. In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a restaurant, various figurative cues related to the sea (a boat or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a sailor figurine, a napkin with a picture of a boat and poetry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related to the sea) or no cues (control condition) were present in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the environment of the patrons. The results show that figurative</w:t>
      </w:r>
    </w:p>
    <w:p w:rsidR="00F04AEB" w:rsidRPr="00F04AEB" w:rsidRDefault="00F04AEB" w:rsidP="00F04AEB">
      <w:pPr>
        <w:autoSpaceDE w:val="0"/>
        <w:autoSpaceDN w:val="0"/>
        <w:adjustRightInd w:val="0"/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cues related to the sea increased the consumption of fish dishes.</w:t>
      </w:r>
    </w:p>
    <w:p w:rsidR="00F04AEB" w:rsidRDefault="00F04AEB" w:rsidP="00F04AEB">
      <w:pPr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  <w:r w:rsidRPr="00F04AEB">
        <w:rPr>
          <w:rFonts w:ascii="Garamond-LightItalic" w:hAnsi="Garamond-LightItalic" w:cs="Garamond-LightItalic"/>
          <w:i/>
          <w:iCs/>
          <w:color w:val="231F20"/>
          <w:lang w:val="en-US"/>
        </w:rPr>
        <w:t>KEYWORDS figurative cues, immediate environment, consumer</w:t>
      </w:r>
    </w:p>
    <w:p w:rsidR="00F04AEB" w:rsidRDefault="00F04AEB" w:rsidP="00F04AEB">
      <w:pPr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</w:p>
    <w:p w:rsidR="00F04AEB" w:rsidRDefault="00F04AEB" w:rsidP="00F04AEB">
      <w:pPr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</w:p>
    <w:p w:rsidR="00F04AEB" w:rsidRDefault="00F04AEB" w:rsidP="00F04AEB">
      <w:pPr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</w:p>
    <w:p w:rsidR="00F04AEB" w:rsidRDefault="00F04AEB" w:rsidP="00F04AEB">
      <w:pPr>
        <w:spacing w:after="0" w:line="240" w:lineRule="auto"/>
        <w:rPr>
          <w:rFonts w:ascii="Garamond-LightItalic" w:hAnsi="Garamond-LightItalic" w:cs="Garamond-LightItalic"/>
          <w:i/>
          <w:iCs/>
          <w:color w:val="231F20"/>
          <w:lang w:val="en-US"/>
        </w:rPr>
      </w:pP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  <w:t>Aesthetic package design: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  <w:t>A behavioral, neural, and psychological investigation</w:t>
      </w:r>
    </w:p>
    <w:p w:rsidR="00F04AEB" w:rsidRPr="00F04AEB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Martin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Reimann</w:t>
      </w:r>
      <w:proofErr w:type="spellEnd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, Judith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Zaichkowsky</w:t>
      </w:r>
      <w:proofErr w:type="spellEnd"/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Carolin</w:t>
      </w:r>
      <w:proofErr w:type="spellEnd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proofErr w:type="spellStart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Neuhaus</w:t>
      </w:r>
      <w:proofErr w:type="spellEnd"/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, Thomas Bender</w:t>
      </w:r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, Bernd Weber</w:t>
      </w:r>
    </w:p>
    <w:p w:rsidR="00F04AEB" w:rsidRPr="00F04AEB" w:rsidRDefault="00E4274D" w:rsidP="00F04AEB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>
        <w:rPr>
          <w:rFonts w:ascii="Times New Roman" w:eastAsia="Times New Roman" w:hAnsi="Times New Roman" w:cs="Times New Roman"/>
          <w:sz w:val="12"/>
          <w:szCs w:val="12"/>
          <w:lang w:val="en-US" w:eastAsia="it-IT"/>
        </w:rPr>
        <w:t xml:space="preserve"> 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it-IT"/>
        </w:rPr>
      </w:pPr>
      <w:r w:rsidRPr="00F04AEB">
        <w:rPr>
          <w:rFonts w:ascii="Arial" w:eastAsia="Times New Roman" w:hAnsi="Arial" w:cs="Arial"/>
          <w:sz w:val="12"/>
          <w:szCs w:val="12"/>
          <w:lang w:val="en-US" w:eastAsia="it-IT"/>
        </w:rPr>
        <w:t>Abstract</w:t>
      </w: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In four experiments, this research sheds light on aesthetic experiences by rigorously investigating behavioral, neural, and psychological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properties of package design. We find that aesthetic packages significantly increase the reaction time of consumers' choice responses; that they are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chosen over products with well-known brands in standardized packages, despite higher prices; and that they result in increased activation in the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nucleus </w:t>
      </w:r>
      <w:proofErr w:type="spellStart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accumbens</w:t>
      </w:r>
      <w:proofErr w:type="spellEnd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the </w:t>
      </w:r>
      <w:proofErr w:type="spellStart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ventromedial</w:t>
      </w:r>
      <w:proofErr w:type="spellEnd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prefrontal cortex, according to functional magnetic resonance imaging (</w:t>
      </w:r>
      <w:proofErr w:type="spellStart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fMRI</w:t>
      </w:r>
      <w:proofErr w:type="spellEnd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). The results suggest that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reward value plays an important role in aesthetic product experiences. Further, a closer look at psychometric and </w:t>
      </w:r>
      <w:proofErr w:type="spellStart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neuroimaging</w:t>
      </w:r>
      <w:proofErr w:type="spellEnd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data finds that a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paper-and-pencil measure of affective product involvement correlates with aesthetic product experiences in the brain. Implications for future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aesthetics research, package designers, and product managers are discussed</w:t>
      </w:r>
    </w:p>
    <w:p w:rsidR="00E4274D" w:rsidRDefault="00E4274D">
      <w:pPr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  <w:r>
        <w:rPr>
          <w:rFonts w:ascii="ACaslonPro-Regular" w:eastAsia="ACaslonPro-Regular" w:hAnsi="ACaslonPro-Bold" w:cs="ACaslonPro-Regular"/>
          <w:sz w:val="16"/>
          <w:szCs w:val="16"/>
          <w:lang w:val="en-US"/>
        </w:rPr>
        <w:br w:type="page"/>
      </w: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F04AEB" w:rsidRPr="00E4274D" w:rsidRDefault="00E4274D" w:rsidP="00F04AE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</w:pPr>
      <w:r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i</w:t>
      </w:r>
      <w:r w:rsidR="00F04AEB"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f money doesn't make you happy, then you probably aren't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</w:pPr>
      <w:r w:rsidRPr="00E4274D">
        <w:rPr>
          <w:rFonts w:ascii="Times New Roman" w:eastAsia="Times New Roman" w:hAnsi="Times New Roman" w:cs="Times New Roman"/>
          <w:b/>
          <w:sz w:val="23"/>
          <w:szCs w:val="23"/>
          <w:lang w:val="en-US" w:eastAsia="it-IT"/>
        </w:rPr>
        <w:t>spending it right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Elizabeth W. Dunn</w:t>
      </w:r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 </w:t>
      </w: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Daniel T. Gilbert</w:t>
      </w:r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 </w:t>
      </w:r>
      <w:r w:rsidRPr="00F04AEB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Timothy D. Wilson</w:t>
      </w:r>
    </w:p>
    <w:p w:rsidR="00F04AEB" w:rsidRPr="00F04AEB" w:rsidRDefault="00E4274D" w:rsidP="00F04AEB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>
        <w:rPr>
          <w:rFonts w:ascii="Times New Roman" w:eastAsia="Times New Roman" w:hAnsi="Times New Roman" w:cs="Times New Roman"/>
          <w:sz w:val="12"/>
          <w:szCs w:val="12"/>
          <w:lang w:val="en-US" w:eastAsia="it-IT"/>
        </w:rPr>
        <w:t xml:space="preserve"> </w:t>
      </w:r>
    </w:p>
    <w:p w:rsidR="00F04AEB" w:rsidRPr="00F04AEB" w:rsidRDefault="00F04AEB" w:rsidP="00F04AEB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it-IT"/>
        </w:rPr>
      </w:pPr>
      <w:r w:rsidRPr="00F04AEB">
        <w:rPr>
          <w:rFonts w:ascii="Arial" w:eastAsia="Times New Roman" w:hAnsi="Arial" w:cs="Arial"/>
          <w:sz w:val="12"/>
          <w:szCs w:val="12"/>
          <w:lang w:val="en-US" w:eastAsia="it-IT"/>
        </w:rPr>
        <w:t>Abstract</w:t>
      </w:r>
    </w:p>
    <w:p w:rsidR="00F04AEB" w:rsidRPr="00E4274D" w:rsidRDefault="00F04AEB" w:rsidP="00F04A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The relationship between money and happiness is surprisingly weak, which may stem in part from the way people spend it. Drawing on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empirical research, we propose eight principles designed to help consumers get more happiness for their money. Specifically, we suggest that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consumers should (1) buy more experiences and fewer material goods; (2) use their money to benefit others rather than themselves; (3) buy many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small pleasures rather than fewer large ones; (4) eschew extended warranties and other forms of overpriced insurance; (5) delay consumption;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(6) consider how peripheral features of their purchases may affect their day-to-day lives; (7) beware of comparison shopping; and (8) pay close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attention to the happiness of others</w:t>
      </w:r>
    </w:p>
    <w:p w:rsidR="00F04AEB" w:rsidRDefault="00F04AEB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966A0F" w:rsidRDefault="00966A0F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966A0F" w:rsidRPr="00966A0F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  <w:t>Use does not wear ragged the fabric of friendship: Thinking of objects as</w:t>
      </w:r>
    </w:p>
    <w:p w:rsidR="00966A0F" w:rsidRPr="00966A0F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  <w:t>alive makes people less willing to replace them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Jesse Chandler</w:t>
      </w:r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r w:rsidRPr="00966A0F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Norbert Schwarz</w:t>
      </w:r>
    </w:p>
    <w:p w:rsidR="00966A0F" w:rsidRPr="00966A0F" w:rsidRDefault="00E4274D" w:rsidP="00966A0F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  <w:t xml:space="preserve"> </w:t>
      </w:r>
    </w:p>
    <w:p w:rsidR="00966A0F" w:rsidRPr="00966A0F" w:rsidRDefault="00966A0F" w:rsidP="00966A0F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it-IT"/>
        </w:rPr>
      </w:pPr>
      <w:r w:rsidRPr="00966A0F">
        <w:rPr>
          <w:rFonts w:ascii="Arial" w:eastAsia="Times New Roman" w:hAnsi="Arial" w:cs="Arial"/>
          <w:sz w:val="12"/>
          <w:szCs w:val="12"/>
          <w:lang w:val="en-US" w:eastAsia="it-IT"/>
        </w:rPr>
        <w:t>Abstract</w:t>
      </w:r>
    </w:p>
    <w:p w:rsidR="00966A0F" w:rsidRPr="00E4274D" w:rsidRDefault="00966A0F" w:rsidP="00966A0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Anthropomorphic beliefs about objects lead people to treat them as if they were alive. Two experiments test how anthropomorphic thought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affects consumers' product replacement intentions. Consumers induced to think about their car in anthropomorphic terms (</w:t>
      </w:r>
      <w:proofErr w:type="spellStart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i</w:t>
      </w:r>
      <w:proofErr w:type="spellEnd"/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 were less willing to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replace it and (ii) gave less weight to its quality when making replacement decisions. Instead, they (iii) attended to (experimentally induced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connotations of) the car's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warmth,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 feature usually considered relevant in the interpersonal domain. While anthropomorphic beliefs about</w:t>
      </w:r>
      <w:r w:rsid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brands are often seen as advantageous by marketers because they increase brand loyalty, similar beliefs about products may be less desirable.</w:t>
      </w:r>
    </w:p>
    <w:p w:rsidR="00966A0F" w:rsidRPr="00E4274D" w:rsidRDefault="00E4274D" w:rsidP="00966A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</w:p>
    <w:p w:rsidR="00966A0F" w:rsidRPr="00E4274D" w:rsidRDefault="00966A0F" w:rsidP="00F04AEB">
      <w:pPr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</w:p>
    <w:p w:rsidR="00966A0F" w:rsidRPr="00E4274D" w:rsidRDefault="00966A0F" w:rsidP="00F04AEB">
      <w:pPr>
        <w:spacing w:after="0" w:line="240" w:lineRule="auto"/>
        <w:rPr>
          <w:rFonts w:ascii="ACaslonPro-Regular" w:eastAsia="ACaslonPro-Regular" w:hAnsi="ACaslonPro-Bold" w:cs="ACaslonPro-Regular"/>
          <w:sz w:val="20"/>
          <w:szCs w:val="20"/>
          <w:lang w:val="en-US"/>
        </w:rPr>
      </w:pP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b/>
          <w:sz w:val="18"/>
          <w:szCs w:val="18"/>
          <w:lang w:val="en-US" w:eastAsia="it-IT"/>
        </w:rPr>
        <w:t>Magic at the marketplace: Choice blindness for the taste of jam and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b/>
          <w:sz w:val="18"/>
          <w:szCs w:val="18"/>
          <w:lang w:val="en-US" w:eastAsia="it-IT"/>
        </w:rPr>
        <w:t>the smell of tea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>Lars Hall</w:t>
      </w:r>
      <w:r w:rsidR="00E4274D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 xml:space="preserve">  </w:t>
      </w:r>
      <w:proofErr w:type="spellStart"/>
      <w:r w:rsidRPr="00966A0F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>Petter</w:t>
      </w:r>
      <w:proofErr w:type="spellEnd"/>
      <w:r w:rsidRPr="00966A0F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 xml:space="preserve"> Johansson</w:t>
      </w:r>
      <w:r w:rsidR="00E4274D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 xml:space="preserve"> </w:t>
      </w:r>
      <w:r w:rsidRPr="00966A0F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 xml:space="preserve">Betty </w:t>
      </w:r>
      <w:proofErr w:type="spellStart"/>
      <w:r w:rsidRPr="00966A0F"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>Tärning</w:t>
      </w:r>
      <w:proofErr w:type="spellEnd"/>
    </w:p>
    <w:p w:rsidR="00966A0F" w:rsidRPr="00966A0F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9"/>
          <w:szCs w:val="9"/>
          <w:lang w:val="en-US" w:eastAsia="it-IT"/>
        </w:rPr>
      </w:pPr>
    </w:p>
    <w:p w:rsidR="00966A0F" w:rsidRPr="00966A0F" w:rsidRDefault="00E4274D" w:rsidP="00966A0F">
      <w:pPr>
        <w:spacing w:after="0" w:line="240" w:lineRule="auto"/>
        <w:rPr>
          <w:rFonts w:ascii="Times New Roman" w:eastAsia="Times New Roman" w:hAnsi="Times New Roman" w:cs="Times New Roman"/>
          <w:sz w:val="9"/>
          <w:szCs w:val="9"/>
          <w:lang w:val="en-US" w:eastAsia="it-IT"/>
        </w:rPr>
      </w:pPr>
      <w:r>
        <w:rPr>
          <w:rFonts w:ascii="Times New Roman" w:eastAsia="Times New Roman" w:hAnsi="Times New Roman" w:cs="Times New Roman"/>
          <w:sz w:val="14"/>
          <w:szCs w:val="14"/>
          <w:lang w:val="en-US" w:eastAsia="it-IT"/>
        </w:rPr>
        <w:t xml:space="preserve"> 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abstract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We set up a tasting venue at a local supermarket and invited passerby shoppers to sample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two different varieties of jam and tea, and to decide which alternative in each pair they pre-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proofErr w:type="spellStart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ferred</w:t>
      </w:r>
      <w:proofErr w:type="spellEnd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the most. Immediately after the participants had made their choice, we asked them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to again sample the chosen alternative, and to verbally explain why they chose the way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they did. At this point we secretly switched the contents of the sample containers, so that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the outcome of the choice became the opposite of what the participants intended. In total,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no more than a third of the manipulated trials were detected. Even for remarkably different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tastes like Cinnamon-Apple and bitter Grapefruit, or the smell of Mango and </w:t>
      </w:r>
      <w:proofErr w:type="spellStart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Pernod</w:t>
      </w:r>
      <w:proofErr w:type="spellEnd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was no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more than half of all trials detected, thus demonstrating considerable levels of choice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blindness for the taste and smell of two different consumer goods</w:t>
      </w:r>
    </w:p>
    <w:p w:rsidR="00966A0F" w:rsidRPr="00E4274D" w:rsidRDefault="00966A0F" w:rsidP="00F04AEB">
      <w:pPr>
        <w:spacing w:after="0" w:line="240" w:lineRule="auto"/>
        <w:rPr>
          <w:rFonts w:ascii="ACaslonPro-Regular" w:eastAsia="ACaslonPro-Regular" w:hAnsi="ACaslonPro-Bold" w:cs="ACaslonPro-Regular"/>
          <w:sz w:val="18"/>
          <w:szCs w:val="18"/>
          <w:lang w:val="en-US"/>
        </w:rPr>
      </w:pPr>
    </w:p>
    <w:p w:rsidR="00E4274D" w:rsidRDefault="00E4274D">
      <w:pPr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  <w:r>
        <w:rPr>
          <w:rFonts w:ascii="ACaslonPro-Regular" w:eastAsia="ACaslonPro-Regular" w:hAnsi="ACaslonPro-Bold" w:cs="ACaslonPro-Regular"/>
          <w:sz w:val="16"/>
          <w:szCs w:val="16"/>
          <w:lang w:val="en-US"/>
        </w:rPr>
        <w:br w:type="page"/>
      </w:r>
    </w:p>
    <w:p w:rsidR="00966A0F" w:rsidRDefault="00966A0F" w:rsidP="00F04AEB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6A0F">
        <w:rPr>
          <w:rFonts w:ascii="Times New Roman" w:hAnsi="Times New Roman" w:cs="Times New Roman"/>
          <w:b/>
          <w:bCs/>
          <w:sz w:val="24"/>
          <w:szCs w:val="24"/>
          <w:lang w:val="en-US"/>
        </w:rPr>
        <w:t>When Less is More: Consumer Aversion to Unused Utility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ABSTRACT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A series of experiments demonstrates that consumers exhibit aversion to waste during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forward-looking purchase. These experiments further reveal that such behavior is driven by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distaste for unused utility, a reaction that is shown to be distinct from an aversion to squandering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money. Waste aversion is especially pronounced when consumers anticipate future consequences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and deprivation is salient. In addition to demonstrating robustness across consumers and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marketing contexts, the results also demonstrate how waste aversion can lead to self-defeating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behavior in which consumers forego desired utility. Finally, the present research demonstrates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 xml:space="preserve">and discusses the implications of waste aversion for a variety of marketing issues, including </w:t>
      </w:r>
      <w:proofErr w:type="spellStart"/>
      <w:r w:rsidRPr="00966A0F">
        <w:rPr>
          <w:rFonts w:ascii="TimesNewRomanPSMT" w:hAnsi="TimesNewRomanPSMT" w:cs="TimesNewRomanPSMT"/>
          <w:sz w:val="24"/>
          <w:szCs w:val="24"/>
          <w:lang w:val="en-US"/>
        </w:rPr>
        <w:t>buyrent</w:t>
      </w:r>
      <w:proofErr w:type="spellEnd"/>
    </w:p>
    <w:p w:rsidR="00966A0F" w:rsidRDefault="00966A0F" w:rsidP="00966A0F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66A0F">
        <w:rPr>
          <w:rFonts w:ascii="TimesNewRomanPSMT" w:hAnsi="TimesNewRomanPSMT" w:cs="TimesNewRomanPSMT"/>
          <w:sz w:val="24"/>
          <w:szCs w:val="24"/>
          <w:lang w:val="en-US"/>
        </w:rPr>
        <w:t>markets, bundling, and the fundamental distinction between goods and services.</w:t>
      </w:r>
    </w:p>
    <w:p w:rsidR="00966A0F" w:rsidRDefault="00966A0F" w:rsidP="00966A0F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966A0F" w:rsidRDefault="00966A0F" w:rsidP="00966A0F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966A0F" w:rsidRPr="00966A0F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23"/>
          <w:szCs w:val="23"/>
          <w:lang w:val="en-US" w:eastAsia="it-IT"/>
        </w:rPr>
        <w:t>How persuasive messages can influence behavior without awareness</w:t>
      </w:r>
    </w:p>
    <w:p w:rsidR="00966A0F" w:rsidRPr="00966A0F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</w:pPr>
      <w:r w:rsidRPr="00966A0F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J. Edward Russo</w:t>
      </w:r>
      <w:r w:rsidR="00E4274D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 </w:t>
      </w:r>
      <w:r w:rsidRPr="00966A0F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 xml:space="preserve">, Anne-Sophie </w:t>
      </w:r>
      <w:proofErr w:type="spellStart"/>
      <w:r w:rsidRPr="00966A0F">
        <w:rPr>
          <w:rFonts w:ascii="Times New Roman" w:eastAsia="Times New Roman" w:hAnsi="Times New Roman" w:cs="Times New Roman"/>
          <w:sz w:val="17"/>
          <w:szCs w:val="17"/>
          <w:lang w:val="en-US" w:eastAsia="it-IT"/>
        </w:rPr>
        <w:t>Chaxel</w:t>
      </w:r>
      <w:proofErr w:type="spellEnd"/>
    </w:p>
    <w:p w:rsidR="00966A0F" w:rsidRPr="00966A0F" w:rsidRDefault="00E4274D" w:rsidP="00966A0F">
      <w:pPr>
        <w:spacing w:after="0" w:line="240" w:lineRule="auto"/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</w:pPr>
      <w:r>
        <w:rPr>
          <w:rFonts w:ascii="Times New Roman" w:eastAsia="Times New Roman" w:hAnsi="Times New Roman" w:cs="Times New Roman"/>
          <w:sz w:val="11"/>
          <w:szCs w:val="11"/>
          <w:lang w:val="en-US" w:eastAsia="it-IT"/>
        </w:rPr>
        <w:t xml:space="preserve"> </w:t>
      </w:r>
    </w:p>
    <w:p w:rsidR="00966A0F" w:rsidRPr="00E4274D" w:rsidRDefault="00966A0F" w:rsidP="00966A0F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t-IT"/>
        </w:rPr>
      </w:pPr>
      <w:r w:rsidRPr="00E4274D">
        <w:rPr>
          <w:rFonts w:ascii="Arial" w:eastAsia="Times New Roman" w:hAnsi="Arial" w:cs="Arial"/>
          <w:sz w:val="18"/>
          <w:szCs w:val="18"/>
          <w:lang w:val="en-US" w:eastAsia="it-IT"/>
        </w:rPr>
        <w:t>Abstract</w:t>
      </w:r>
    </w:p>
    <w:p w:rsidR="00966A0F" w:rsidRPr="00E4274D" w:rsidRDefault="00966A0F" w:rsidP="00966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A persuasive message that favors one option in a binary choice can enhance the apparent value of its target by biasing the interpretation of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subsequent information. The message installs its target as the initial leader in preference and lets the </w:t>
      </w:r>
      <w:proofErr w:type="spellStart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predecisional</w:t>
      </w:r>
      <w:proofErr w:type="spellEnd"/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distortion of information de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f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end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that leadership position. An experiment that contrasts showing TV commercials before and after objective product information demonstrates this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process. Ratings of the importance of the commercials to the choice indicate that people are aware of advertising's direct effect on their choice but</w:t>
      </w:r>
      <w:r w:rsid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</w:t>
      </w:r>
      <w:r w:rsidRPr="00E4274D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>not of its indirect effect through the biased evaluation of the product information</w:t>
      </w:r>
    </w:p>
    <w:p w:rsidR="00966A0F" w:rsidRDefault="00966A0F" w:rsidP="00966A0F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E4274D" w:rsidRDefault="00E4274D">
      <w:pPr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  <w:r>
        <w:rPr>
          <w:rFonts w:ascii="ACaslonPro-Regular" w:eastAsia="ACaslonPro-Regular" w:hAnsi="ACaslonPro-Bold" w:cs="ACaslonPro-Regular"/>
          <w:sz w:val="16"/>
          <w:szCs w:val="16"/>
          <w:lang w:val="en-US"/>
        </w:rPr>
        <w:br w:type="page"/>
      </w:r>
    </w:p>
    <w:p w:rsidR="00966A0F" w:rsidRDefault="00966A0F" w:rsidP="00966A0F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</w:p>
    <w:p w:rsidR="00966A0F" w:rsidRPr="00E4274D" w:rsidRDefault="00966A0F" w:rsidP="00966A0F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000000"/>
          <w:sz w:val="24"/>
          <w:szCs w:val="24"/>
          <w:lang w:val="en-US"/>
        </w:rPr>
      </w:pPr>
      <w:r w:rsidRPr="00E4274D">
        <w:rPr>
          <w:rFonts w:ascii="AdvTT6120e2aa" w:hAnsi="AdvTT6120e2aa" w:cs="AdvTT6120e2aa"/>
          <w:color w:val="000000"/>
          <w:sz w:val="24"/>
          <w:szCs w:val="24"/>
          <w:lang w:val="en-US"/>
        </w:rPr>
        <w:t>Situated embodied cognition: Monitoring orientation cues affects product</w:t>
      </w:r>
    </w:p>
    <w:p w:rsidR="00966A0F" w:rsidRPr="00E4274D" w:rsidRDefault="00966A0F" w:rsidP="00966A0F">
      <w:pPr>
        <w:autoSpaceDE w:val="0"/>
        <w:autoSpaceDN w:val="0"/>
        <w:adjustRightInd w:val="0"/>
        <w:spacing w:after="0" w:line="240" w:lineRule="auto"/>
        <w:rPr>
          <w:rFonts w:ascii="AdvTT6120e2aa+26" w:eastAsia="AdvTT6120e2aa+26" w:hAnsi="AdvTT6120e2aa" w:cs="AdvTT6120e2aa+26"/>
          <w:color w:val="0000FF"/>
          <w:sz w:val="24"/>
          <w:szCs w:val="24"/>
          <w:lang w:val="en-US"/>
        </w:rPr>
      </w:pPr>
      <w:r w:rsidRPr="00E4274D">
        <w:rPr>
          <w:rFonts w:ascii="AdvTT6120e2aa" w:hAnsi="AdvTT6120e2aa" w:cs="AdvTT6120e2aa"/>
          <w:color w:val="000000"/>
          <w:sz w:val="24"/>
          <w:szCs w:val="24"/>
          <w:lang w:val="en-US"/>
        </w:rPr>
        <w:t>evaluation and choice</w:t>
      </w:r>
      <w:r w:rsidRPr="00E4274D">
        <w:rPr>
          <w:rFonts w:ascii="AdvTT6120e2aa+26" w:eastAsia="AdvTT6120e2aa+26" w:hAnsi="AdvTT6120e2aa" w:cs="AdvTT6120e2aa+26" w:hint="eastAsia"/>
          <w:color w:val="0000FF"/>
          <w:sz w:val="24"/>
          <w:szCs w:val="24"/>
          <w:lang w:val="en-US"/>
        </w:rPr>
        <w:t>☆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000000"/>
          <w:sz w:val="17"/>
          <w:szCs w:val="17"/>
          <w:lang w:val="en-US"/>
        </w:rPr>
      </w:pPr>
      <w:proofErr w:type="spellStart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>Jiska</w:t>
      </w:r>
      <w:proofErr w:type="spellEnd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 </w:t>
      </w:r>
      <w:proofErr w:type="spellStart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>Eelen</w:t>
      </w:r>
      <w:proofErr w:type="spellEnd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7"/>
          <w:szCs w:val="17"/>
          <w:lang w:val="en-US"/>
        </w:rPr>
        <w:t>a,</w:t>
      </w:r>
      <w:r w:rsidRPr="00966A0F">
        <w:rPr>
          <w:rFonts w:ascii="Arial" w:hAnsi="Arial" w:cs="Arial"/>
          <w:color w:val="000000"/>
          <w:sz w:val="24"/>
          <w:szCs w:val="24"/>
          <w:lang w:val="en-US"/>
        </w:rPr>
        <w:t>⁎</w:t>
      </w:r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, Siegfried </w:t>
      </w:r>
      <w:proofErr w:type="spellStart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>Dewitte</w:t>
      </w:r>
      <w:proofErr w:type="spellEnd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7"/>
          <w:szCs w:val="17"/>
          <w:lang w:val="en-US"/>
        </w:rPr>
        <w:t>a</w:t>
      </w:r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, </w:t>
      </w:r>
      <w:proofErr w:type="spellStart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>Luk</w:t>
      </w:r>
      <w:proofErr w:type="spellEnd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 </w:t>
      </w:r>
      <w:proofErr w:type="spellStart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>Warlop</w:t>
      </w:r>
      <w:proofErr w:type="spellEnd"/>
      <w:r w:rsidRPr="00966A0F">
        <w:rPr>
          <w:rFonts w:ascii="AdvTT6120e2aa" w:hAnsi="AdvTT6120e2aa" w:cs="AdvTT6120e2aa"/>
          <w:color w:val="000000"/>
          <w:sz w:val="26"/>
          <w:szCs w:val="26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7"/>
          <w:szCs w:val="17"/>
          <w:lang w:val="en-US"/>
        </w:rPr>
        <w:t>a, b</w:t>
      </w:r>
    </w:p>
    <w:p w:rsidR="00966A0F" w:rsidRPr="00966A0F" w:rsidRDefault="00E4274D" w:rsidP="00966A0F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000000"/>
          <w:sz w:val="16"/>
          <w:szCs w:val="16"/>
          <w:lang w:val="en-US"/>
        </w:rPr>
      </w:pPr>
      <w:r>
        <w:rPr>
          <w:rFonts w:ascii="AdvTT6120e2aa" w:hAnsi="AdvTT6120e2aa" w:cs="AdvTT6120e2aa"/>
          <w:color w:val="000000"/>
          <w:sz w:val="11"/>
          <w:szCs w:val="11"/>
          <w:lang w:val="en-US"/>
        </w:rPr>
        <w:t xml:space="preserve"> 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AdvTTb8864ccf.B" w:hAnsi="AdvTTb8864ccf.B" w:cs="AdvTTb8864ccf.B"/>
          <w:color w:val="000000"/>
          <w:sz w:val="18"/>
          <w:szCs w:val="18"/>
          <w:lang w:val="en-US"/>
        </w:rPr>
      </w:pPr>
      <w:r w:rsidRPr="00966A0F">
        <w:rPr>
          <w:rFonts w:ascii="AdvTTb8864ccf.B" w:hAnsi="AdvTTb8864ccf.B" w:cs="AdvTTb8864ccf.B"/>
          <w:color w:val="000000"/>
          <w:sz w:val="18"/>
          <w:szCs w:val="18"/>
          <w:lang w:val="en-US"/>
        </w:rPr>
        <w:t>Abstract</w:t>
      </w:r>
    </w:p>
    <w:p w:rsidR="00966A0F" w:rsidRPr="00E4274D" w:rsidRDefault="00966A0F" w:rsidP="00E4274D">
      <w:pPr>
        <w:autoSpaceDE w:val="0"/>
        <w:autoSpaceDN w:val="0"/>
        <w:adjustRightInd w:val="0"/>
        <w:spacing w:after="0" w:line="240" w:lineRule="auto"/>
        <w:rPr>
          <w:rFonts w:ascii="AdvTT6120e2aa" w:hAnsi="AdvTT6120e2aa" w:cs="AdvTT6120e2aa"/>
          <w:color w:val="000000"/>
          <w:sz w:val="18"/>
          <w:szCs w:val="18"/>
          <w:lang w:val="en-US"/>
        </w:rPr>
      </w:pP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Consumers generally prefer products that are easy to interact with. In three studies, we show that this preference arises from the </w:t>
      </w:r>
      <w:r w:rsidRPr="00966A0F">
        <w:rPr>
          <w:rFonts w:ascii="AdvTT6120e2aa+fb" w:hAnsi="AdvTT6120e2aa+fb" w:cs="AdvTT6120e2aa+fb"/>
          <w:color w:val="000000"/>
          <w:sz w:val="18"/>
          <w:szCs w:val="18"/>
          <w:lang w:val="en-US"/>
        </w:rPr>
        <w:t>fi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>t between</w:t>
      </w:r>
      <w:r w:rsid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>product orientation and monitored situational constraints. Flexible right-handers, who monitor situational constraints, recall product orientations</w:t>
      </w:r>
      <w:r w:rsid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>better and prefer products for which the handle is oriented in the direction of the hand used for grasping. When their ability to monitor situational</w:t>
      </w:r>
      <w:r w:rsid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constraints is impaired, the preference for easy-to-grasp products is attenuated. The </w:t>
      </w:r>
      <w:r w:rsidRPr="00966A0F">
        <w:rPr>
          <w:rFonts w:ascii="AdvTT6120e2aa+fb" w:hAnsi="AdvTT6120e2aa+fb" w:cs="AdvTT6120e2aa+fb"/>
          <w:color w:val="000000"/>
          <w:sz w:val="18"/>
          <w:szCs w:val="18"/>
          <w:lang w:val="en-US"/>
        </w:rPr>
        <w:t>fi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ndings highlight that motor </w:t>
      </w:r>
      <w:r w:rsidRPr="00966A0F">
        <w:rPr>
          <w:rFonts w:ascii="AdvTT6120e2aa+fb" w:hAnsi="AdvTT6120e2aa+fb" w:cs="AdvTT6120e2aa+fb"/>
          <w:color w:val="000000"/>
          <w:sz w:val="18"/>
          <w:szCs w:val="18"/>
          <w:lang w:val="en-US"/>
        </w:rPr>
        <w:t>fl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>uency is a relevant cue for</w:t>
      </w:r>
      <w:r w:rsid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 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decision making when consumers assess how to interact with a product. The implications of these results for embodiment and </w:t>
      </w:r>
      <w:r w:rsidRPr="00966A0F">
        <w:rPr>
          <w:rFonts w:ascii="AdvTT6120e2aa+fb" w:hAnsi="AdvTT6120e2aa+fb" w:cs="AdvTT6120e2aa+fb"/>
          <w:color w:val="000000"/>
          <w:sz w:val="18"/>
          <w:szCs w:val="18"/>
          <w:lang w:val="en-US"/>
        </w:rPr>
        <w:t>fl</w:t>
      </w:r>
      <w:r w:rsidRPr="00966A0F">
        <w:rPr>
          <w:rFonts w:ascii="AdvTT6120e2aa" w:hAnsi="AdvTT6120e2aa" w:cs="AdvTT6120e2aa"/>
          <w:color w:val="000000"/>
          <w:sz w:val="18"/>
          <w:szCs w:val="18"/>
          <w:lang w:val="en-US"/>
        </w:rPr>
        <w:t>uency research are</w:t>
      </w:r>
      <w:r w:rsid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 xml:space="preserve"> </w:t>
      </w:r>
      <w:r w:rsidRPr="00E4274D">
        <w:rPr>
          <w:rFonts w:ascii="AdvTT6120e2aa" w:hAnsi="AdvTT6120e2aa" w:cs="AdvTT6120e2aa"/>
          <w:color w:val="000000"/>
          <w:sz w:val="18"/>
          <w:szCs w:val="18"/>
          <w:lang w:val="en-US"/>
        </w:rPr>
        <w:t>discussed.</w:t>
      </w:r>
    </w:p>
    <w:p w:rsidR="00966A0F" w:rsidRDefault="00966A0F" w:rsidP="00966A0F">
      <w:pPr>
        <w:spacing w:after="0" w:line="240" w:lineRule="auto"/>
        <w:rPr>
          <w:rFonts w:ascii="AdvTT6120e2aa" w:hAnsi="AdvTT6120e2aa" w:cs="AdvTT6120e2aa"/>
          <w:color w:val="000000"/>
          <w:sz w:val="18"/>
          <w:szCs w:val="18"/>
          <w:lang w:val="en-US"/>
        </w:rPr>
      </w:pPr>
    </w:p>
    <w:p w:rsidR="00E4274D" w:rsidRDefault="00E4274D" w:rsidP="00966A0F">
      <w:pPr>
        <w:spacing w:after="0" w:line="240" w:lineRule="auto"/>
        <w:rPr>
          <w:rFonts w:ascii="AdvTT6120e2aa" w:hAnsi="AdvTT6120e2aa" w:cs="AdvTT6120e2aa"/>
          <w:color w:val="000000"/>
          <w:sz w:val="18"/>
          <w:szCs w:val="18"/>
          <w:lang w:val="en-US"/>
        </w:rPr>
      </w:pPr>
    </w:p>
    <w:p w:rsidR="00E4274D" w:rsidRPr="00E4274D" w:rsidRDefault="00E4274D" w:rsidP="00966A0F">
      <w:pPr>
        <w:spacing w:after="0" w:line="240" w:lineRule="auto"/>
        <w:rPr>
          <w:rFonts w:ascii="AdvTT6120e2aa" w:hAnsi="AdvTT6120e2aa" w:cs="AdvTT6120e2aa"/>
          <w:color w:val="000000"/>
          <w:sz w:val="18"/>
          <w:szCs w:val="18"/>
          <w:lang w:val="en-US"/>
        </w:rPr>
      </w:pPr>
    </w:p>
    <w:p w:rsidR="00966A0F" w:rsidRPr="00E4274D" w:rsidRDefault="00966A0F" w:rsidP="00966A0F">
      <w:pPr>
        <w:spacing w:after="0" w:line="240" w:lineRule="auto"/>
        <w:rPr>
          <w:rFonts w:ascii="Calibri-Bold" w:hAnsi="Calibri-Bold" w:cs="Calibri-Bold"/>
          <w:b/>
          <w:bCs/>
          <w:sz w:val="24"/>
          <w:szCs w:val="24"/>
          <w:lang w:val="en-US"/>
        </w:rPr>
      </w:pPr>
      <w:r w:rsidRPr="00E4274D">
        <w:rPr>
          <w:rFonts w:ascii="Calibri-Bold" w:hAnsi="Calibri-Bold" w:cs="Calibri-Bold"/>
          <w:b/>
          <w:bCs/>
          <w:sz w:val="24"/>
          <w:szCs w:val="24"/>
          <w:lang w:val="en-US"/>
        </w:rPr>
        <w:t>Sadness and Consumption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Sadness influences consumption, leading individuals to pay more to acquire new goods and to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eat more unhealthy food than they would otherwise. These undesirable consumption effects of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sadness can occur without awareness, thus representing more than just conscious attempts at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“retail therapy.” In an experiment with real food consumption, the present paper examines the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hypothesis that sadness’ impact on consumption could be attenuated if the choice context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counteracted appraisals of helplessness and enhanced a sense of individual control. Results</w:t>
      </w:r>
    </w:p>
    <w:p w:rsidR="00966A0F" w:rsidRPr="00966A0F" w:rsidRDefault="00966A0F" w:rsidP="00966A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revealed that: (1) sadness elevates self‐reports of helplessness in response to the emotion</w:t>
      </w:r>
      <w:r w:rsidR="00E4274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66A0F">
        <w:rPr>
          <w:rFonts w:ascii="Calibri" w:hAnsi="Calibri" w:cs="Calibri"/>
          <w:sz w:val="24"/>
          <w:szCs w:val="24"/>
          <w:lang w:val="en-US"/>
        </w:rPr>
        <w:t>inducing</w:t>
      </w:r>
      <w:r w:rsidR="00E4274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66A0F">
        <w:rPr>
          <w:rFonts w:ascii="Calibri" w:hAnsi="Calibri" w:cs="Calibri"/>
          <w:sz w:val="24"/>
          <w:szCs w:val="24"/>
          <w:lang w:val="en-US"/>
        </w:rPr>
        <w:t>situation, (2) helplessness mediates the sadness‐consumption effect, and (3) inducing</w:t>
      </w:r>
    </w:p>
    <w:p w:rsidR="00966A0F" w:rsidRPr="00966A0F" w:rsidRDefault="00966A0F" w:rsidP="00966A0F">
      <w:pPr>
        <w:spacing w:after="0" w:line="240" w:lineRule="auto"/>
        <w:rPr>
          <w:rFonts w:ascii="ACaslonPro-Regular" w:eastAsia="ACaslonPro-Regular" w:hAnsi="ACaslonPro-Bold" w:cs="ACaslonPro-Regular"/>
          <w:sz w:val="16"/>
          <w:szCs w:val="16"/>
          <w:lang w:val="en-US"/>
        </w:rPr>
      </w:pPr>
      <w:r w:rsidRPr="00966A0F">
        <w:rPr>
          <w:rFonts w:ascii="Calibri" w:hAnsi="Calibri" w:cs="Calibri"/>
          <w:sz w:val="24"/>
          <w:szCs w:val="24"/>
          <w:lang w:val="en-US"/>
        </w:rPr>
        <w:t>a sense of control (via choice) attenuates sadness’ effect</w:t>
      </w:r>
    </w:p>
    <w:sectPr w:rsidR="00966A0F" w:rsidRPr="00966A0F" w:rsidSect="00C40C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TT6120e2a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dvTT50a2f13e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b8864ccf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6120e2aa+2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6120e2aa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asl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CaslonPro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CaslonPr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NPSTim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Sy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0005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3713a23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i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Light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MTMI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6120e2aa+26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231A20"/>
    <w:rsid w:val="001736A9"/>
    <w:rsid w:val="00231A20"/>
    <w:rsid w:val="003D17D4"/>
    <w:rsid w:val="00760992"/>
    <w:rsid w:val="00966A0F"/>
    <w:rsid w:val="00B61499"/>
    <w:rsid w:val="00C40C24"/>
    <w:rsid w:val="00E4274D"/>
    <w:rsid w:val="00EE155B"/>
    <w:rsid w:val="00EE3445"/>
    <w:rsid w:val="00F0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0C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4122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Mannetti</dc:creator>
  <cp:lastModifiedBy> </cp:lastModifiedBy>
  <cp:revision>2</cp:revision>
  <dcterms:created xsi:type="dcterms:W3CDTF">2013-10-08T08:03:00Z</dcterms:created>
  <dcterms:modified xsi:type="dcterms:W3CDTF">2013-10-08T08:03:00Z</dcterms:modified>
</cp:coreProperties>
</file>