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88"/>
      </w:tblGrid>
      <w:tr w:rsidR="005E1789" w:rsidTr="005E1789">
        <w:tc>
          <w:tcPr>
            <w:tcW w:w="10606" w:type="dxa"/>
            <w:tcBorders>
              <w:top w:val="single" w:sz="4" w:space="0" w:color="auto"/>
              <w:left w:val="single" w:sz="4" w:space="0" w:color="auto"/>
              <w:bottom w:val="single" w:sz="4" w:space="0" w:color="auto"/>
              <w:right w:val="single" w:sz="4" w:space="0" w:color="auto"/>
            </w:tcBorders>
          </w:tcPr>
          <w:p w:rsidR="005E1789" w:rsidRDefault="005E1789">
            <w:pPr>
              <w:pStyle w:val="TITRE10"/>
              <w:outlineLvl w:val="0"/>
            </w:pPr>
            <w:bookmarkStart w:id="0" w:name="_Toc369768938"/>
            <w:r>
              <w:t>Testo n°4</w:t>
            </w:r>
            <w:bookmarkEnd w:id="0"/>
          </w:p>
          <w:p w:rsidR="005E1789" w:rsidRDefault="005E1789">
            <w:pPr>
              <w:pStyle w:val="TITRE10"/>
              <w:outlineLvl w:val="0"/>
            </w:pPr>
            <w:bookmarkStart w:id="1" w:name="_Toc369768939"/>
            <w:r>
              <w:t>Traduction spécialisée – Essai théorique danse et littérature</w:t>
            </w:r>
            <w:bookmarkEnd w:id="1"/>
          </w:p>
          <w:p w:rsidR="005E1789" w:rsidRDefault="005E1789">
            <w:pPr>
              <w:jc w:val="both"/>
              <w:outlineLvl w:val="0"/>
            </w:pPr>
          </w:p>
        </w:tc>
      </w:tr>
      <w:tr w:rsidR="005E1789" w:rsidTr="005E1789">
        <w:tc>
          <w:tcPr>
            <w:tcW w:w="10606" w:type="dxa"/>
            <w:tcBorders>
              <w:top w:val="single" w:sz="4" w:space="0" w:color="auto"/>
              <w:left w:val="single" w:sz="4" w:space="0" w:color="auto"/>
              <w:bottom w:val="single" w:sz="4" w:space="0" w:color="auto"/>
              <w:right w:val="single" w:sz="4" w:space="0" w:color="auto"/>
            </w:tcBorders>
            <w:hideMark/>
          </w:tcPr>
          <w:p w:rsidR="005E1789" w:rsidRDefault="005E1789">
            <w:pPr>
              <w:jc w:val="both"/>
            </w:pPr>
            <w:r>
              <w:t xml:space="preserve">Stefano Genetti, « Tra Beckett e Maguy Marin, da </w:t>
            </w:r>
            <w:r>
              <w:rPr>
                <w:i/>
              </w:rPr>
              <w:t xml:space="preserve">May B </w:t>
            </w:r>
            <w:r>
              <w:t xml:space="preserve">a </w:t>
            </w:r>
            <w:r>
              <w:rPr>
                <w:i/>
              </w:rPr>
              <w:t>Cap au pire</w:t>
            </w:r>
            <w:r>
              <w:t> », in</w:t>
            </w:r>
            <w:r>
              <w:rPr>
                <w:i/>
              </w:rPr>
              <w:t xml:space="preserve"> </w:t>
            </w:r>
            <w:r>
              <w:t xml:space="preserve">Laura Colombo, Stefano Genetti, Jurij Lotman, et alii, </w:t>
            </w:r>
            <w:r>
              <w:rPr>
                <w:i/>
              </w:rPr>
              <w:t>Figure e intersezioni tra danza e letteratura</w:t>
            </w:r>
            <w:r>
              <w:t>, Verona, Edizioni Fiorini, 2010, p. 385-410.</w:t>
            </w:r>
          </w:p>
        </w:tc>
      </w:tr>
    </w:tbl>
    <w:p w:rsidR="005E1789" w:rsidRDefault="005E1789" w:rsidP="005E1789">
      <w:pPr>
        <w:spacing w:after="0"/>
      </w:pPr>
    </w:p>
    <w:p w:rsidR="00344722" w:rsidRDefault="003A5842" w:rsidP="005E1789">
      <w:pPr>
        <w:spacing w:after="120"/>
        <w:jc w:val="both"/>
      </w:pPr>
      <w:r>
        <w:t>Au cours des dernières décennies, différents chorégraphes se sont confrontés, selon des modalités qui vont de la citation à la recréation complexe, à l’œuvre de Beckett et aux corps défaits et aliénés, défectueux et cruels qui la peuplent. La scission entre présence physique et langage</w:t>
      </w:r>
      <w:r w:rsidR="00445D6D">
        <w:t xml:space="preserve"> et la dissection anatomique, l’angoisse de situer le sujet et de mesurer le lieu et la tension entre l’aspiration à la stase et la condamnation au nomadisme ou à des trajets prédéterminés : ceci et d’autres éléments qui chez </w:t>
      </w:r>
      <w:r w:rsidR="005E1789">
        <w:t xml:space="preserve">Beckett </w:t>
      </w:r>
      <w:r w:rsidR="00445D6D">
        <w:t xml:space="preserve">configurent l’espace, défigurent le corps et rythment le temps, </w:t>
      </w:r>
      <w:r w:rsidR="00344722">
        <w:t>en stimulant une réflexion sur les fondements mêmes de la danse. Une enquête sur les fonctions vitales minimales et sur les conditions de la perception s’inscrit dans un parcours esthétique abstrait qui, enraciné dans l’expressivité impossible/la gêne expressive/l’empêchement expressif, perfectionne son échec et avance par réductions progressives, orchestrations épurées de silences et de sons fondamentaux, vers l’abandon, jamais c</w:t>
      </w:r>
      <w:r w:rsidR="006E0AB5">
        <w:t>onsumé/c</w:t>
      </w:r>
      <w:r w:rsidR="00344722">
        <w:t>ons</w:t>
      </w:r>
      <w:r w:rsidR="00762080">
        <w:t>om</w:t>
      </w:r>
      <w:r w:rsidR="00344722">
        <w:t>mé, de la parole au nom d’une figuration/figurativité anti</w:t>
      </w:r>
      <w:r w:rsidR="00D33308">
        <w:t>-</w:t>
      </w:r>
      <w:r w:rsidR="00344722">
        <w:t>mimétique, vers une ascèse de la littérature en images entraperçues et dissoutes/se dissolvant. Abstraction de la matière éphémère et rétive, dont l’œuvre sans texte incarne et épuise/exténue le corps en mouvement</w:t>
      </w:r>
      <w:r w:rsidR="005E1789">
        <w:t>,</w:t>
      </w:r>
      <w:r w:rsidR="00344722">
        <w:t xml:space="preserve"> en disséminant sans cesse/incessamment les significations qu’elle suggère, la danse participe peut-être à ce retardement du sens que, dans l’oscillation</w:t>
      </w:r>
      <w:r w:rsidR="003E26E2">
        <w:t>/l’hésitation</w:t>
      </w:r>
      <w:r w:rsidR="00344722">
        <w:t xml:space="preserve"> entre les langues, les genres et les arts</w:t>
      </w:r>
      <w:r w:rsidR="00D05A66">
        <w:t xml:space="preserve"> et dans la dés</w:t>
      </w:r>
      <w:r w:rsidR="00344722">
        <w:t>identification des voix et des formes, l’art beckettien poursuit/recherche.</w:t>
      </w:r>
    </w:p>
    <w:p w:rsidR="005E1789" w:rsidRDefault="005E1789" w:rsidP="005E1789">
      <w:pPr>
        <w:spacing w:after="60"/>
        <w:jc w:val="both"/>
      </w:pPr>
      <w:r>
        <w:t>[…]</w:t>
      </w:r>
    </w:p>
    <w:p w:rsidR="005E1789" w:rsidRDefault="00D33308" w:rsidP="005E1789">
      <w:pPr>
        <w:jc w:val="both"/>
        <w:rPr>
          <w:lang w:val="it-IT"/>
        </w:rPr>
      </w:pPr>
      <w:r>
        <w:rPr>
          <w:lang w:val="it-IT"/>
        </w:rPr>
        <w:t xml:space="preserve">Effacer les mots et créer les images [N.B.: ici pluriel à </w:t>
      </w:r>
      <w:r>
        <w:rPr>
          <w:i/>
          <w:lang w:val="it-IT"/>
        </w:rPr>
        <w:t xml:space="preserve">images </w:t>
      </w:r>
      <w:r>
        <w:rPr>
          <w:lang w:val="it-IT"/>
        </w:rPr>
        <w:t xml:space="preserve">pour conserver le parallèle syntaxique italien et parce </w:t>
      </w:r>
      <w:r w:rsidRPr="00D33308">
        <w:rPr>
          <w:i/>
          <w:lang w:val="it-IT"/>
        </w:rPr>
        <w:t>les mots</w:t>
      </w:r>
      <w:r>
        <w:rPr>
          <w:lang w:val="it-IT"/>
        </w:rPr>
        <w:t xml:space="preserve"> s’emploient mieux au pluriel]</w:t>
      </w:r>
      <w:r w:rsidR="005E1789">
        <w:rPr>
          <w:lang w:val="it-IT"/>
        </w:rPr>
        <w:t>,</w:t>
      </w:r>
      <w:r>
        <w:rPr>
          <w:lang w:val="it-IT"/>
        </w:rPr>
        <w:t xml:space="preserve"> les rendre visibles dans leur effacement tout en lacérant le</w:t>
      </w:r>
      <w:r w:rsidR="005E1789">
        <w:rPr>
          <w:lang w:val="it-IT"/>
        </w:rPr>
        <w:t xml:space="preserve"> dire</w:t>
      </w:r>
      <w:r>
        <w:rPr>
          <w:lang w:val="it-IT"/>
        </w:rPr>
        <w:t> </w:t>
      </w:r>
      <w:r w:rsidR="005E1789">
        <w:rPr>
          <w:lang w:val="it-IT"/>
        </w:rPr>
        <w:t xml:space="preserve">: </w:t>
      </w:r>
      <w:r>
        <w:rPr>
          <w:lang w:val="it-IT"/>
        </w:rPr>
        <w:t>voilà ce que Beckett tente de manière théorique, et qui, c</w:t>
      </w:r>
      <w:r w:rsidR="009569F7">
        <w:rPr>
          <w:lang w:val="it-IT"/>
        </w:rPr>
        <w:t xml:space="preserve">omme prévu, rate/échoue, dans le </w:t>
      </w:r>
      <w:r w:rsidR="005E1789">
        <w:rPr>
          <w:i/>
          <w:lang w:val="it-IT"/>
        </w:rPr>
        <w:t>Worstward Ho</w:t>
      </w:r>
      <w:r w:rsidR="009569F7">
        <w:rPr>
          <w:i/>
          <w:lang w:val="it-IT"/>
        </w:rPr>
        <w:t xml:space="preserve"> </w:t>
      </w:r>
      <w:r w:rsidR="009569F7">
        <w:rPr>
          <w:lang w:val="it-IT"/>
        </w:rPr>
        <w:t>de la même époque</w:t>
      </w:r>
      <w:r w:rsidR="005E1789">
        <w:rPr>
          <w:lang w:val="it-IT"/>
        </w:rPr>
        <w:t>,</w:t>
      </w:r>
      <w:r w:rsidR="009569F7">
        <w:rPr>
          <w:lang w:val="it-IT"/>
        </w:rPr>
        <w:t xml:space="preserve"> prose extrême</w:t>
      </w:r>
      <w:r w:rsidR="005E1789">
        <w:rPr>
          <w:lang w:val="it-IT"/>
        </w:rPr>
        <w:t>,</w:t>
      </w:r>
      <w:r w:rsidR="009569F7">
        <w:rPr>
          <w:lang w:val="it-IT"/>
        </w:rPr>
        <w:t xml:space="preserve"> (qui nous est) disponible/qui nous a été livrée/remise</w:t>
      </w:r>
      <w:r w:rsidR="005E1789">
        <w:rPr>
          <w:lang w:val="it-IT"/>
        </w:rPr>
        <w:t xml:space="preserve"> </w:t>
      </w:r>
      <w:r w:rsidR="009569F7">
        <w:rPr>
          <w:lang w:val="it-IT"/>
        </w:rPr>
        <w:t xml:space="preserve">uniquement en anglais et traduite en français par </w:t>
      </w:r>
      <w:r w:rsidR="005E1789">
        <w:rPr>
          <w:lang w:val="it-IT"/>
        </w:rPr>
        <w:t xml:space="preserve">Edith Fournier </w:t>
      </w:r>
      <w:r w:rsidR="009569F7">
        <w:rPr>
          <w:lang w:val="it-IT"/>
        </w:rPr>
        <w:t>avec le titre</w:t>
      </w:r>
      <w:r w:rsidR="005E1789">
        <w:rPr>
          <w:lang w:val="it-IT"/>
        </w:rPr>
        <w:t xml:space="preserve">, </w:t>
      </w:r>
      <w:r w:rsidR="009569F7">
        <w:rPr>
          <w:lang w:val="it-IT"/>
        </w:rPr>
        <w:t>discuté avec l’auteur</w:t>
      </w:r>
      <w:r w:rsidR="005E1789">
        <w:rPr>
          <w:lang w:val="it-IT"/>
        </w:rPr>
        <w:t xml:space="preserve">, </w:t>
      </w:r>
      <w:r w:rsidR="005E1789">
        <w:rPr>
          <w:i/>
          <w:lang w:val="it-IT"/>
        </w:rPr>
        <w:t>Cap au pire</w:t>
      </w:r>
      <w:r w:rsidR="009569F7">
        <w:rPr>
          <w:i/>
          <w:lang w:val="it-IT"/>
        </w:rPr>
        <w:t> </w:t>
      </w:r>
      <w:r w:rsidR="005E1789">
        <w:rPr>
          <w:lang w:val="it-IT"/>
        </w:rPr>
        <w:t xml:space="preserve">: </w:t>
      </w:r>
      <w:r w:rsidR="009569F7">
        <w:rPr>
          <w:lang w:val="it-IT"/>
        </w:rPr>
        <w:t>une voix inidentifiable/inattribuable</w:t>
      </w:r>
      <w:r w:rsidR="005E1789">
        <w:rPr>
          <w:lang w:val="it-IT"/>
        </w:rPr>
        <w:t xml:space="preserve"> [...] </w:t>
      </w:r>
      <w:r w:rsidR="009569F7">
        <w:rPr>
          <w:lang w:val="it-IT"/>
        </w:rPr>
        <w:t>préfigure la vision de la dissipation des images que les mots obscurcissent/éclipsent</w:t>
      </w:r>
      <w:r w:rsidR="005E1789">
        <w:rPr>
          <w:lang w:val="it-IT"/>
        </w:rPr>
        <w:t>. [...] D</w:t>
      </w:r>
      <w:r w:rsidR="009569F7">
        <w:rPr>
          <w:lang w:val="it-IT"/>
        </w:rPr>
        <w:t xml:space="preserve">e cette littérature abstraite, le </w:t>
      </w:r>
      <w:r w:rsidR="00A32065">
        <w:rPr>
          <w:lang w:val="it-IT"/>
        </w:rPr>
        <w:t>“</w:t>
      </w:r>
      <w:r w:rsidR="009569F7">
        <w:rPr>
          <w:lang w:val="it-IT"/>
        </w:rPr>
        <w:t xml:space="preserve">frénétique ballet en quinconce de </w:t>
      </w:r>
      <w:r w:rsidR="005E1789">
        <w:rPr>
          <w:i/>
          <w:lang w:val="it-IT"/>
        </w:rPr>
        <w:t>Quad</w:t>
      </w:r>
      <w:r w:rsidR="005E1789">
        <w:rPr>
          <w:lang w:val="it-IT"/>
        </w:rPr>
        <w:t xml:space="preserve">” </w:t>
      </w:r>
      <w:r w:rsidR="009569F7">
        <w:rPr>
          <w:lang w:val="it-IT"/>
        </w:rPr>
        <w:t xml:space="preserve">représente l’équivalent idéographique et peut à bien des égards être comparé à une </w:t>
      </w:r>
      <w:r w:rsidR="005E1789">
        <w:rPr>
          <w:i/>
          <w:lang w:val="it-IT"/>
        </w:rPr>
        <w:t>performance</w:t>
      </w:r>
      <w:r w:rsidR="005E1789">
        <w:rPr>
          <w:lang w:val="it-IT"/>
        </w:rPr>
        <w:t xml:space="preserve"> video-</w:t>
      </w:r>
      <w:r w:rsidR="009569F7">
        <w:rPr>
          <w:lang w:val="it-IT"/>
        </w:rPr>
        <w:t>dansée : l’auteur</w:t>
      </w:r>
      <w:r w:rsidR="005E1789">
        <w:rPr>
          <w:lang w:val="it-IT"/>
        </w:rPr>
        <w:t xml:space="preserve"> </w:t>
      </w:r>
      <w:r w:rsidR="009569F7">
        <w:rPr>
          <w:lang w:val="it-IT"/>
        </w:rPr>
        <w:t>souhaite</w:t>
      </w:r>
      <w:r w:rsidR="002C3A9A">
        <w:rPr>
          <w:lang w:val="it-IT"/>
        </w:rPr>
        <w:t>*</w:t>
      </w:r>
      <w:r w:rsidR="009569F7">
        <w:rPr>
          <w:lang w:val="it-IT"/>
        </w:rPr>
        <w:t xml:space="preserve"> que les interprètes ressentent </w:t>
      </w:r>
      <w:r w:rsidR="002C3A9A">
        <w:rPr>
          <w:lang w:val="it-IT"/>
        </w:rPr>
        <w:t xml:space="preserve">(subjonctif) </w:t>
      </w:r>
      <w:r w:rsidR="009569F7">
        <w:rPr>
          <w:lang w:val="it-IT"/>
        </w:rPr>
        <w:t>une certaine expérience choreutique/dansée e que les tracés dessinés par les corps stimulent une réception plus nerveuse que conceptuelle</w:t>
      </w:r>
      <w:r w:rsidR="002C3A9A">
        <w:rPr>
          <w:lang w:val="it-IT"/>
        </w:rPr>
        <w:t>**</w:t>
      </w:r>
      <w:r w:rsidR="009569F7">
        <w:rPr>
          <w:lang w:val="it-IT"/>
        </w:rPr>
        <w:t>.</w:t>
      </w:r>
      <w:r w:rsidR="005E1789">
        <w:rPr>
          <w:lang w:val="it-IT"/>
        </w:rPr>
        <w:t xml:space="preserve"> </w:t>
      </w:r>
    </w:p>
    <w:p w:rsidR="009569F7" w:rsidRDefault="009569F7" w:rsidP="005E1789">
      <w:pPr>
        <w:jc w:val="both"/>
        <w:rPr>
          <w:lang w:val="it-IT"/>
        </w:rPr>
      </w:pPr>
      <w:r>
        <w:rPr>
          <w:lang w:val="it-IT"/>
        </w:rPr>
        <w:tab/>
      </w:r>
      <w:r w:rsidR="002C3A9A">
        <w:rPr>
          <w:lang w:val="it-IT"/>
        </w:rPr>
        <w:tab/>
        <w:t>*</w:t>
      </w:r>
      <w:r>
        <w:rPr>
          <w:lang w:val="it-IT"/>
        </w:rPr>
        <w:t>des interprètes qu’ils ressentent... (subjonctif)</w:t>
      </w:r>
    </w:p>
    <w:p w:rsidR="009569F7" w:rsidRDefault="009569F7" w:rsidP="005E1789">
      <w:pPr>
        <w:jc w:val="both"/>
        <w:rPr>
          <w:lang w:val="it-IT"/>
        </w:rPr>
      </w:pPr>
      <w:r>
        <w:rPr>
          <w:lang w:val="it-IT"/>
        </w:rPr>
        <w:tab/>
      </w:r>
      <w:r w:rsidR="002C3A9A">
        <w:rPr>
          <w:lang w:val="it-IT"/>
        </w:rPr>
        <w:tab/>
        <w:t>*</w:t>
      </w:r>
      <w:r>
        <w:rPr>
          <w:lang w:val="it-IT"/>
        </w:rPr>
        <w:t>pour les interprètes une certaine expérience (même structure qu’en italien, mais syntaxe peu claire)</w:t>
      </w:r>
    </w:p>
    <w:p w:rsidR="009569F7" w:rsidRDefault="002C3A9A" w:rsidP="005E1789">
      <w:pPr>
        <w:jc w:val="both"/>
        <w:rPr>
          <w:lang w:val="it-IT"/>
        </w:rPr>
      </w:pPr>
      <w:r>
        <w:rPr>
          <w:lang w:val="it-IT"/>
        </w:rPr>
        <w:t>**</w:t>
      </w:r>
      <w:r w:rsidR="009569F7">
        <w:rPr>
          <w:lang w:val="it-IT"/>
        </w:rPr>
        <w:t>une réception nerveuse plus que conceptuelle/ nerveuse plutôt que conceptuelle/ nerveuse avant que d’être conceptuelle .</w:t>
      </w:r>
    </w:p>
    <w:p w:rsidR="005E1789" w:rsidRDefault="005E1789" w:rsidP="005E1789">
      <w:pPr>
        <w:spacing w:after="60"/>
        <w:jc w:val="both"/>
        <w:rPr>
          <w:lang w:val="it-IT"/>
        </w:rPr>
      </w:pPr>
      <w:r>
        <w:rPr>
          <w:lang w:val="it-IT"/>
        </w:rPr>
        <w:t>[...]</w:t>
      </w:r>
    </w:p>
    <w:p w:rsidR="00F15D23" w:rsidRDefault="00F15D23" w:rsidP="005E1789">
      <w:pPr>
        <w:jc w:val="both"/>
        <w:rPr>
          <w:lang w:val="it-IT"/>
        </w:rPr>
      </w:pPr>
      <w:r>
        <w:rPr>
          <w:lang w:val="it-IT"/>
        </w:rPr>
        <w:lastRenderedPageBreak/>
        <w:t xml:space="preserve">***A ricalcare le orme che in Beckett la danza lascia sulla pagina, sulla scena e sullo schermo è Maguy Marin: della sfida che la scrittura letteraria lancia </w:t>
      </w:r>
    </w:p>
    <w:p w:rsidR="00F15D23" w:rsidRDefault="00F15D23" w:rsidP="005E1789">
      <w:pPr>
        <w:jc w:val="both"/>
        <w:rPr>
          <w:lang w:val="it-IT"/>
        </w:rPr>
      </w:pPr>
      <w:r>
        <w:rPr>
          <w:lang w:val="it-IT"/>
        </w:rPr>
        <w:t xml:space="preserve">***C’est Maguy Marin qui marche sur les pas que... </w:t>
      </w:r>
    </w:p>
    <w:p w:rsidR="00F15D23" w:rsidRDefault="00F15D23" w:rsidP="005E1789">
      <w:pPr>
        <w:jc w:val="both"/>
        <w:rPr>
          <w:lang w:val="it-IT"/>
        </w:rPr>
      </w:pPr>
      <w:r>
        <w:rPr>
          <w:lang w:val="it-IT"/>
        </w:rPr>
        <w:t>***Marchant sur les pas que..., Maguy Marin + Verbe conjugué (se nourrit de..)</w:t>
      </w:r>
    </w:p>
    <w:p w:rsidR="00F15D23" w:rsidRDefault="00F15D23" w:rsidP="005E1789">
      <w:pPr>
        <w:jc w:val="both"/>
        <w:rPr>
          <w:lang w:val="it-IT"/>
        </w:rPr>
      </w:pPr>
      <w:r>
        <w:rPr>
          <w:lang w:val="it-IT"/>
        </w:rPr>
        <w:t xml:space="preserve">***C’est de marcher sur les pas que..., que s’occupe Maguy Marin: </w:t>
      </w:r>
    </w:p>
    <w:p w:rsidR="00F15D23" w:rsidRDefault="00F15D23" w:rsidP="005E1789">
      <w:pPr>
        <w:jc w:val="both"/>
        <w:rPr>
          <w:lang w:val="it-IT"/>
        </w:rPr>
      </w:pPr>
      <w:r>
        <w:rPr>
          <w:lang w:val="it-IT"/>
        </w:rPr>
        <w:t>***Marcher sur les pas que..., tel est le dessein de Maguy Marin: ...</w:t>
      </w:r>
    </w:p>
    <w:p w:rsidR="005E1789" w:rsidRDefault="00F15D23" w:rsidP="00F15D23">
      <w:pPr>
        <w:jc w:val="both"/>
        <w:rPr>
          <w:lang w:val="it-IT"/>
        </w:rPr>
      </w:pPr>
      <w:r>
        <w:rPr>
          <w:lang w:val="it-IT"/>
        </w:rPr>
        <w:t xml:space="preserve">Marcher sur les pas que, chez Beckett, la danse imprime sur </w:t>
      </w:r>
      <w:r w:rsidR="00762080">
        <w:rPr>
          <w:lang w:val="it-IT"/>
        </w:rPr>
        <w:t>la page</w:t>
      </w:r>
      <w:r>
        <w:rPr>
          <w:lang w:val="it-IT"/>
        </w:rPr>
        <w:t>, sur la scène et sur l’écran, tel est le dessein de Maguy Marin: en effet, du défi que l’écriture lance à l’art de la danse semble se nourrir l’exténuation/l’épuisement de la danse dans la distance qui sépare le très célèbre</w:t>
      </w:r>
      <w:r w:rsidR="00745362">
        <w:rPr>
          <w:lang w:val="it-IT"/>
        </w:rPr>
        <w:t>/le très heureux</w:t>
      </w:r>
      <w:r w:rsidR="005E1789">
        <w:rPr>
          <w:lang w:val="it-IT"/>
        </w:rPr>
        <w:t xml:space="preserve"> </w:t>
      </w:r>
      <w:r w:rsidR="005E1789">
        <w:rPr>
          <w:i/>
          <w:lang w:val="it-IT"/>
        </w:rPr>
        <w:t>May B</w:t>
      </w:r>
      <w:r w:rsidR="005E1789">
        <w:rPr>
          <w:lang w:val="it-IT"/>
        </w:rPr>
        <w:t xml:space="preserve"> d</w:t>
      </w:r>
      <w:r>
        <w:rPr>
          <w:lang w:val="it-IT"/>
        </w:rPr>
        <w:t xml:space="preserve">u solo plus récent, où/dans lequel la chorégraphe relit/propose une relecture de </w:t>
      </w:r>
      <w:r w:rsidR="005E1789">
        <w:rPr>
          <w:i/>
          <w:lang w:val="it-IT"/>
        </w:rPr>
        <w:t>Worstward Ho/Cap au pire</w:t>
      </w:r>
      <w:r w:rsidR="005E1789">
        <w:rPr>
          <w:lang w:val="it-IT"/>
        </w:rPr>
        <w:t xml:space="preserve">. [...] </w:t>
      </w:r>
      <w:r>
        <w:rPr>
          <w:lang w:val="it-IT"/>
        </w:rPr>
        <w:t xml:space="preserve">Du reste, c’est à </w:t>
      </w:r>
      <w:r w:rsidR="005E1789">
        <w:rPr>
          <w:lang w:val="it-IT"/>
        </w:rPr>
        <w:t xml:space="preserve">a </w:t>
      </w:r>
      <w:r w:rsidR="005E1789">
        <w:rPr>
          <w:i/>
          <w:lang w:val="it-IT"/>
        </w:rPr>
        <w:t>May B</w:t>
      </w:r>
      <w:r w:rsidR="005E1789">
        <w:rPr>
          <w:lang w:val="it-IT"/>
        </w:rPr>
        <w:t xml:space="preserve"> </w:t>
      </w:r>
      <w:r>
        <w:rPr>
          <w:lang w:val="it-IT"/>
        </w:rPr>
        <w:t xml:space="preserve">que </w:t>
      </w:r>
      <w:r w:rsidR="005E1789">
        <w:rPr>
          <w:lang w:val="it-IT"/>
        </w:rPr>
        <w:t xml:space="preserve">Deleuze </w:t>
      </w:r>
      <w:r>
        <w:rPr>
          <w:lang w:val="it-IT"/>
        </w:rPr>
        <w:t>semble faire référence quand</w:t>
      </w:r>
      <w:r w:rsidR="005E1789">
        <w:rPr>
          <w:lang w:val="it-IT"/>
        </w:rPr>
        <w:t xml:space="preserve">, </w:t>
      </w:r>
      <w:r>
        <w:rPr>
          <w:lang w:val="it-IT"/>
        </w:rPr>
        <w:t>à propos de</w:t>
      </w:r>
      <w:r w:rsidR="005E1789">
        <w:rPr>
          <w:lang w:val="it-IT"/>
        </w:rPr>
        <w:t xml:space="preserve"> </w:t>
      </w:r>
      <w:r w:rsidR="005E1789">
        <w:rPr>
          <w:i/>
          <w:lang w:val="it-IT"/>
        </w:rPr>
        <w:t>Quad</w:t>
      </w:r>
      <w:r w:rsidR="005E1789">
        <w:rPr>
          <w:lang w:val="it-IT"/>
        </w:rPr>
        <w:t>,</w:t>
      </w:r>
      <w:r w:rsidR="00745362">
        <w:rPr>
          <w:lang w:val="it-IT"/>
        </w:rPr>
        <w:t xml:space="preserve"> il découvre dans l’art beckettien </w:t>
      </w:r>
      <w:r w:rsidR="005E1789">
        <w:rPr>
          <w:lang w:val="it-IT"/>
        </w:rPr>
        <w:t>le</w:t>
      </w:r>
      <w:r>
        <w:rPr>
          <w:lang w:val="it-IT"/>
        </w:rPr>
        <w:t>s</w:t>
      </w:r>
      <w:r w:rsidR="005E1789">
        <w:rPr>
          <w:lang w:val="it-IT"/>
        </w:rPr>
        <w:t xml:space="preserve"> “concordances générales” </w:t>
      </w:r>
      <w:r w:rsidR="00C95BB0">
        <w:rPr>
          <w:lang w:val="it-IT"/>
        </w:rPr>
        <w:t xml:space="preserve">suivantes  </w:t>
      </w:r>
      <w:r w:rsidR="000F299D">
        <w:rPr>
          <w:lang w:val="it-IT"/>
        </w:rPr>
        <w:t>avec la danse moderne</w:t>
      </w:r>
      <w:r w:rsidR="005E1789">
        <w:rPr>
          <w:lang w:val="it-IT"/>
        </w:rPr>
        <w:t xml:space="preserve">: </w:t>
      </w:r>
      <w:r w:rsidR="000F299D">
        <w:rPr>
          <w:lang w:val="it-IT"/>
        </w:rPr>
        <w:t>exploration de positions alternatives à la position debout </w:t>
      </w:r>
      <w:r w:rsidR="005E1789">
        <w:rPr>
          <w:lang w:val="it-IT"/>
        </w:rPr>
        <w:t xml:space="preserve">; </w:t>
      </w:r>
      <w:r w:rsidR="000F299D">
        <w:rPr>
          <w:lang w:val="it-IT"/>
        </w:rPr>
        <w:t>agglutination des corps </w:t>
      </w:r>
      <w:r w:rsidR="005E1789">
        <w:rPr>
          <w:lang w:val="it-IT"/>
        </w:rPr>
        <w:t xml:space="preserve">; </w:t>
      </w:r>
      <w:r w:rsidR="000F299D">
        <w:rPr>
          <w:lang w:val="it-IT"/>
        </w:rPr>
        <w:t>déna</w:t>
      </w:r>
      <w:r w:rsidR="00B6397B">
        <w:rPr>
          <w:lang w:val="it-IT"/>
        </w:rPr>
        <w:t>r</w:t>
      </w:r>
      <w:r w:rsidR="000F299D">
        <w:rPr>
          <w:lang w:val="it-IT"/>
        </w:rPr>
        <w:t>rativisation des postures et des mouvements </w:t>
      </w:r>
      <w:r w:rsidR="005E1789">
        <w:rPr>
          <w:lang w:val="it-IT"/>
        </w:rPr>
        <w:t xml:space="preserve">; </w:t>
      </w:r>
      <w:r w:rsidR="000F299D">
        <w:rPr>
          <w:lang w:val="it-IT"/>
        </w:rPr>
        <w:t>récupération d’actions quotidiennes</w:t>
      </w:r>
      <w:r w:rsidR="005E1789">
        <w:rPr>
          <w:lang w:val="it-IT"/>
        </w:rPr>
        <w:t xml:space="preserve">, </w:t>
      </w:r>
      <w:r w:rsidR="000F299D">
        <w:rPr>
          <w:lang w:val="it-IT"/>
        </w:rPr>
        <w:t>à commencer par celle de marcher</w:t>
      </w:r>
      <w:r w:rsidR="005E1789">
        <w:rPr>
          <w:lang w:val="it-IT"/>
        </w:rPr>
        <w:t xml:space="preserve">, </w:t>
      </w:r>
      <w:r w:rsidR="000F299D">
        <w:rPr>
          <w:lang w:val="it-IT"/>
        </w:rPr>
        <w:t>et valorisation des dissonances gestuelles</w:t>
      </w:r>
      <w:r w:rsidR="005E1789">
        <w:rPr>
          <w:lang w:val="it-IT"/>
        </w:rPr>
        <w:t xml:space="preserve">. [...] </w:t>
      </w:r>
      <w:r w:rsidR="000F299D">
        <w:rPr>
          <w:lang w:val="it-IT"/>
        </w:rPr>
        <w:t>Ainsi/De la sorte</w:t>
      </w:r>
      <w:r w:rsidR="005E1789">
        <w:rPr>
          <w:lang w:val="it-IT"/>
        </w:rPr>
        <w:t xml:space="preserve">, </w:t>
      </w:r>
      <w:r w:rsidR="000F299D">
        <w:rPr>
          <w:lang w:val="it-IT"/>
        </w:rPr>
        <w:t>autour de</w:t>
      </w:r>
      <w:r w:rsidR="005E1789">
        <w:rPr>
          <w:lang w:val="it-IT"/>
        </w:rPr>
        <w:t xml:space="preserve"> Beckett, </w:t>
      </w:r>
      <w:r w:rsidR="000F299D">
        <w:rPr>
          <w:lang w:val="it-IT"/>
        </w:rPr>
        <w:t xml:space="preserve">Maguy Marin crée une </w:t>
      </w:r>
      <w:r w:rsidR="005E1789">
        <w:rPr>
          <w:i/>
          <w:lang w:val="it-IT"/>
        </w:rPr>
        <w:t>performance</w:t>
      </w:r>
      <w:r w:rsidR="005E1789">
        <w:rPr>
          <w:lang w:val="it-IT"/>
        </w:rPr>
        <w:t xml:space="preserve"> </w:t>
      </w:r>
      <w:r w:rsidR="000F299D">
        <w:rPr>
          <w:lang w:val="it-IT"/>
        </w:rPr>
        <w:t>à partir du geste banal</w:t>
      </w:r>
      <w:r w:rsidR="005E1789">
        <w:rPr>
          <w:lang w:val="it-IT"/>
        </w:rPr>
        <w:t xml:space="preserve">, </w:t>
      </w:r>
      <w:r w:rsidR="000F299D">
        <w:rPr>
          <w:lang w:val="it-IT"/>
        </w:rPr>
        <w:t>minuscule ou grandiose</w:t>
      </w:r>
      <w:r w:rsidR="005E1789">
        <w:rPr>
          <w:lang w:val="it-IT"/>
        </w:rPr>
        <w:t>,</w:t>
      </w:r>
      <w:r w:rsidR="000F299D">
        <w:rPr>
          <w:lang w:val="it-IT"/>
        </w:rPr>
        <w:t xml:space="preserve"> intime jusqu’à l’indécence</w:t>
      </w:r>
      <w:r w:rsidR="005E1789">
        <w:rPr>
          <w:lang w:val="it-IT"/>
        </w:rPr>
        <w:t xml:space="preserve">, </w:t>
      </w:r>
      <w:r w:rsidR="000F299D">
        <w:rPr>
          <w:lang w:val="it-IT"/>
        </w:rPr>
        <w:t xml:space="preserve">qu’on accomplit quand quelqu’un nous observe, quand, comme </w:t>
      </w:r>
      <w:r w:rsidR="005E1789">
        <w:rPr>
          <w:lang w:val="it-IT"/>
        </w:rPr>
        <w:t xml:space="preserve">Lucky, </w:t>
      </w:r>
      <w:r w:rsidR="000F299D">
        <w:rPr>
          <w:lang w:val="it-IT"/>
        </w:rPr>
        <w:t xml:space="preserve">nous dansons dans le </w:t>
      </w:r>
      <w:r w:rsidR="00F51E01">
        <w:rPr>
          <w:lang w:val="it-IT"/>
        </w:rPr>
        <w:t>filet</w:t>
      </w:r>
      <w:r w:rsidR="005E1789">
        <w:rPr>
          <w:lang w:val="it-IT"/>
        </w:rPr>
        <w:t xml:space="preserve">, </w:t>
      </w:r>
      <w:r w:rsidR="000F299D">
        <w:rPr>
          <w:lang w:val="it-IT"/>
        </w:rPr>
        <w:t>et elle élabore une esthétique du corps handicapé,</w:t>
      </w:r>
      <w:r w:rsidR="00F51E01">
        <w:rPr>
          <w:lang w:val="it-IT"/>
        </w:rPr>
        <w:t xml:space="preserve"> endommagé</w:t>
      </w:r>
      <w:r w:rsidR="005E1789">
        <w:rPr>
          <w:lang w:val="it-IT"/>
        </w:rPr>
        <w:t xml:space="preserve">, </w:t>
      </w:r>
      <w:r w:rsidR="000F299D">
        <w:rPr>
          <w:lang w:val="it-IT"/>
        </w:rPr>
        <w:t xml:space="preserve">régressif en </w:t>
      </w:r>
      <w:r w:rsidR="00762080">
        <w:rPr>
          <w:lang w:val="it-IT"/>
        </w:rPr>
        <w:t>contradiction</w:t>
      </w:r>
      <w:r w:rsidR="000F299D">
        <w:rPr>
          <w:lang w:val="it-IT"/>
        </w:rPr>
        <w:t xml:space="preserve"> avec le perfectionisme académique et avec la célébration nietzschéenne</w:t>
      </w:r>
      <w:r w:rsidR="00F51E01">
        <w:rPr>
          <w:lang w:val="it-IT"/>
        </w:rPr>
        <w:t xml:space="preserve"> en hommage</w:t>
      </w:r>
      <w:r w:rsidR="005E1789">
        <w:rPr>
          <w:lang w:val="it-IT"/>
        </w:rPr>
        <w:t xml:space="preserve"> </w:t>
      </w:r>
      <w:r w:rsidR="000F299D">
        <w:rPr>
          <w:lang w:val="it-IT"/>
        </w:rPr>
        <w:t xml:space="preserve">au corps dansant par </w:t>
      </w:r>
      <w:r w:rsidR="005E1789">
        <w:rPr>
          <w:lang w:val="it-IT"/>
        </w:rPr>
        <w:t xml:space="preserve">Béjart. [...] </w:t>
      </w:r>
      <w:r w:rsidR="000F299D">
        <w:rPr>
          <w:rFonts w:cstheme="minorHAnsi"/>
          <w:lang w:val="it-IT"/>
        </w:rPr>
        <w:t>À</w:t>
      </w:r>
      <w:r w:rsidR="000F299D">
        <w:rPr>
          <w:lang w:val="it-IT"/>
        </w:rPr>
        <w:t xml:space="preserve"> travers des enquêtes minimalistes et des revisitations/réélaborations</w:t>
      </w:r>
      <w:r w:rsidR="00762080">
        <w:rPr>
          <w:lang w:val="it-IT"/>
        </w:rPr>
        <w:t>/réinterprétations</w:t>
      </w:r>
      <w:r w:rsidR="000F299D">
        <w:rPr>
          <w:lang w:val="it-IT"/>
        </w:rPr>
        <w:t xml:space="preserve">/reprises </w:t>
      </w:r>
      <w:r w:rsidR="00F51E01">
        <w:rPr>
          <w:lang w:val="it-IT"/>
        </w:rPr>
        <w:t xml:space="preserve">désacralisantes </w:t>
      </w:r>
      <w:r w:rsidR="000F299D">
        <w:rPr>
          <w:lang w:val="it-IT"/>
        </w:rPr>
        <w:t xml:space="preserve">de titres comme </w:t>
      </w:r>
      <w:r w:rsidR="005E1789">
        <w:rPr>
          <w:i/>
          <w:lang w:val="it-IT"/>
        </w:rPr>
        <w:t>Cendrillon</w:t>
      </w:r>
      <w:r w:rsidR="005E1789">
        <w:rPr>
          <w:lang w:val="it-IT"/>
        </w:rPr>
        <w:t xml:space="preserve"> e</w:t>
      </w:r>
      <w:r w:rsidR="000F299D">
        <w:rPr>
          <w:lang w:val="it-IT"/>
        </w:rPr>
        <w:t>t</w:t>
      </w:r>
      <w:r w:rsidR="005E1789">
        <w:rPr>
          <w:lang w:val="it-IT"/>
        </w:rPr>
        <w:t xml:space="preserve"> </w:t>
      </w:r>
      <w:r w:rsidR="005E1789">
        <w:rPr>
          <w:i/>
          <w:lang w:val="it-IT"/>
        </w:rPr>
        <w:t>Coppélia</w:t>
      </w:r>
      <w:r w:rsidR="005E1789">
        <w:rPr>
          <w:lang w:val="it-IT"/>
        </w:rPr>
        <w:t xml:space="preserve">, la </w:t>
      </w:r>
      <w:r w:rsidR="000F299D">
        <w:rPr>
          <w:lang w:val="it-IT"/>
        </w:rPr>
        <w:t>chorégra</w:t>
      </w:r>
      <w:r w:rsidR="00021708">
        <w:rPr>
          <w:lang w:val="it-IT"/>
        </w:rPr>
        <w:t>phe décline un langage théâtral</w:t>
      </w:r>
      <w:r w:rsidR="000F299D">
        <w:rPr>
          <w:lang w:val="it-IT"/>
        </w:rPr>
        <w:t xml:space="preserve"> innovant</w:t>
      </w:r>
      <w:r w:rsidR="005E1789">
        <w:rPr>
          <w:lang w:val="it-IT"/>
        </w:rPr>
        <w:t>,</w:t>
      </w:r>
      <w:r w:rsidR="000F299D">
        <w:rPr>
          <w:lang w:val="it-IT"/>
        </w:rPr>
        <w:t xml:space="preserve"> ouvert à diverses influences</w:t>
      </w:r>
      <w:r w:rsidR="00021708">
        <w:rPr>
          <w:lang w:val="it-IT"/>
        </w:rPr>
        <w:t>/à des influences variées</w:t>
      </w:r>
      <w:r w:rsidR="005E1789">
        <w:rPr>
          <w:lang w:val="it-IT"/>
        </w:rPr>
        <w:t xml:space="preserve">, </w:t>
      </w:r>
      <w:r w:rsidR="000F299D">
        <w:rPr>
          <w:lang w:val="it-IT"/>
        </w:rPr>
        <w:t>du cinéma au rock</w:t>
      </w:r>
      <w:r w:rsidR="005E1789">
        <w:rPr>
          <w:lang w:val="it-IT"/>
        </w:rPr>
        <w:t xml:space="preserve">, </w:t>
      </w:r>
      <w:r w:rsidR="000F299D">
        <w:rPr>
          <w:lang w:val="it-IT"/>
        </w:rPr>
        <w:t xml:space="preserve">de </w:t>
      </w:r>
      <w:r w:rsidR="005E1789">
        <w:rPr>
          <w:i/>
          <w:lang w:val="it-IT"/>
        </w:rPr>
        <w:t>guignol</w:t>
      </w:r>
      <w:r w:rsidR="005E1789">
        <w:rPr>
          <w:lang w:val="it-IT"/>
        </w:rPr>
        <w:t xml:space="preserve"> </w:t>
      </w:r>
      <w:r w:rsidR="000F299D">
        <w:rPr>
          <w:lang w:val="it-IT"/>
        </w:rPr>
        <w:t>aux bandes dessinées</w:t>
      </w:r>
      <w:r w:rsidR="005E1789">
        <w:rPr>
          <w:lang w:val="it-IT"/>
        </w:rPr>
        <w:t xml:space="preserve">, </w:t>
      </w:r>
      <w:r w:rsidR="000F299D">
        <w:rPr>
          <w:lang w:val="it-IT"/>
        </w:rPr>
        <w:t>d’</w:t>
      </w:r>
      <w:r w:rsidR="005E1789">
        <w:rPr>
          <w:lang w:val="it-IT"/>
        </w:rPr>
        <w:t xml:space="preserve">Artaud </w:t>
      </w:r>
      <w:r w:rsidR="000F299D">
        <w:rPr>
          <w:lang w:val="it-IT"/>
        </w:rPr>
        <w:t>à</w:t>
      </w:r>
      <w:r w:rsidR="005E1789">
        <w:rPr>
          <w:lang w:val="it-IT"/>
        </w:rPr>
        <w:t xml:space="preserve"> Brook, </w:t>
      </w:r>
      <w:r w:rsidR="000F299D">
        <w:rPr>
          <w:lang w:val="it-IT"/>
        </w:rPr>
        <w:t xml:space="preserve">du </w:t>
      </w:r>
      <w:r w:rsidR="005E1789">
        <w:rPr>
          <w:lang w:val="it-IT"/>
        </w:rPr>
        <w:t xml:space="preserve">flamenco </w:t>
      </w:r>
      <w:r w:rsidR="000F299D">
        <w:rPr>
          <w:lang w:val="it-IT"/>
        </w:rPr>
        <w:t>à</w:t>
      </w:r>
      <w:r w:rsidR="005E1789">
        <w:rPr>
          <w:lang w:val="it-IT"/>
        </w:rPr>
        <w:t xml:space="preserve"> Pina Bausch</w:t>
      </w:r>
      <w:r w:rsidR="000F299D">
        <w:rPr>
          <w:lang w:val="it-IT"/>
        </w:rPr>
        <w:t> </w:t>
      </w:r>
      <w:r w:rsidR="005E1789">
        <w:rPr>
          <w:lang w:val="it-IT"/>
        </w:rPr>
        <w:t xml:space="preserve">; </w:t>
      </w:r>
      <w:r w:rsidR="000F299D">
        <w:rPr>
          <w:lang w:val="it-IT"/>
        </w:rPr>
        <w:t xml:space="preserve">un langage composite qui revendique ses </w:t>
      </w:r>
      <w:r w:rsidR="00A3657A">
        <w:rPr>
          <w:lang w:val="it-IT"/>
        </w:rPr>
        <w:t xml:space="preserve">propres racines dramaturgiques sans s’identifier au théâtre de mots et qui souvent mobilise d’un côté des </w:t>
      </w:r>
      <w:r w:rsidR="00F51E01">
        <w:rPr>
          <w:lang w:val="it-IT"/>
        </w:rPr>
        <w:t xml:space="preserve">déguisements </w:t>
      </w:r>
      <w:r w:rsidR="00A3657A">
        <w:rPr>
          <w:lang w:val="it-IT"/>
        </w:rPr>
        <w:t>macroscopiques</w:t>
      </w:r>
      <w:r w:rsidR="00F51E01">
        <w:rPr>
          <w:lang w:val="it-IT"/>
        </w:rPr>
        <w:t xml:space="preserve"> </w:t>
      </w:r>
      <w:r w:rsidR="005E1789">
        <w:rPr>
          <w:lang w:val="it-IT"/>
        </w:rPr>
        <w:t xml:space="preserve">– </w:t>
      </w:r>
      <w:r w:rsidR="005E1789">
        <w:rPr>
          <w:i/>
          <w:lang w:val="it-IT"/>
        </w:rPr>
        <w:t>kitsch</w:t>
      </w:r>
      <w:r w:rsidR="00A3657A">
        <w:rPr>
          <w:lang w:val="it-IT"/>
        </w:rPr>
        <w:t xml:space="preserve"> sc</w:t>
      </w:r>
      <w:r w:rsidR="00021708">
        <w:rPr>
          <w:lang w:val="it-IT"/>
        </w:rPr>
        <w:t>é</w:t>
      </w:r>
      <w:r w:rsidR="00A3657A">
        <w:rPr>
          <w:lang w:val="it-IT"/>
        </w:rPr>
        <w:t>nographique</w:t>
      </w:r>
      <w:r w:rsidR="005E1789">
        <w:rPr>
          <w:lang w:val="it-IT"/>
        </w:rPr>
        <w:t xml:space="preserve">, </w:t>
      </w:r>
      <w:r w:rsidR="00A3657A">
        <w:rPr>
          <w:lang w:val="it-IT"/>
        </w:rPr>
        <w:t>poupées géantes</w:t>
      </w:r>
      <w:r w:rsidR="00021708">
        <w:rPr>
          <w:lang w:val="it-IT"/>
        </w:rPr>
        <w:t>/gigantesques</w:t>
      </w:r>
      <w:r w:rsidR="005E1789">
        <w:rPr>
          <w:lang w:val="it-IT"/>
        </w:rPr>
        <w:t xml:space="preserve">, </w:t>
      </w:r>
      <w:r w:rsidR="00A3657A">
        <w:rPr>
          <w:lang w:val="it-IT"/>
        </w:rPr>
        <w:t>masques déformants</w:t>
      </w:r>
      <w:r w:rsidR="005E1789">
        <w:rPr>
          <w:lang w:val="it-IT"/>
        </w:rPr>
        <w:t xml:space="preserve"> – </w:t>
      </w:r>
      <w:r w:rsidR="00A3657A">
        <w:rPr>
          <w:lang w:val="it-IT"/>
        </w:rPr>
        <w:t>et de l’autre des textes écrits tout exprès ou issus d’une matrice littératire</w:t>
      </w:r>
      <w:r w:rsidR="00021708">
        <w:rPr>
          <w:lang w:val="it-IT"/>
        </w:rPr>
        <w:t>/venus de la littérature/d’origine littéraire</w:t>
      </w:r>
      <w:r w:rsidR="00A3657A">
        <w:rPr>
          <w:lang w:val="it-IT"/>
        </w:rPr>
        <w:t xml:space="preserve">, des poésies de </w:t>
      </w:r>
      <w:r w:rsidR="005E1789">
        <w:rPr>
          <w:lang w:val="it-IT"/>
        </w:rPr>
        <w:t xml:space="preserve">García Lorca </w:t>
      </w:r>
      <w:r w:rsidR="00A3657A">
        <w:rPr>
          <w:lang w:val="it-IT"/>
        </w:rPr>
        <w:t xml:space="preserve">dans </w:t>
      </w:r>
      <w:r w:rsidR="005E1789">
        <w:rPr>
          <w:i/>
          <w:lang w:val="it-IT"/>
        </w:rPr>
        <w:t>Nieblas de ni</w:t>
      </w:r>
      <w:r w:rsidR="005E1789">
        <w:rPr>
          <w:rFonts w:cstheme="minorHAnsi"/>
          <w:i/>
          <w:lang w:val="it-IT"/>
        </w:rPr>
        <w:t>ñ</w:t>
      </w:r>
      <w:r w:rsidR="005E1789">
        <w:rPr>
          <w:i/>
          <w:lang w:val="it-IT"/>
        </w:rPr>
        <w:t>o</w:t>
      </w:r>
      <w:r w:rsidR="005E1789">
        <w:rPr>
          <w:lang w:val="it-IT"/>
        </w:rPr>
        <w:t xml:space="preserve">, </w:t>
      </w:r>
      <w:r w:rsidR="00A3657A">
        <w:rPr>
          <w:lang w:val="it-IT"/>
        </w:rPr>
        <w:t xml:space="preserve">en </w:t>
      </w:r>
      <w:r w:rsidR="005E1789">
        <w:rPr>
          <w:lang w:val="it-IT"/>
        </w:rPr>
        <w:t xml:space="preserve">1978, </w:t>
      </w:r>
      <w:r w:rsidR="00A3657A">
        <w:rPr>
          <w:lang w:val="it-IT"/>
        </w:rPr>
        <w:t xml:space="preserve">au </w:t>
      </w:r>
      <w:r w:rsidR="005E1789">
        <w:rPr>
          <w:i/>
          <w:lang w:val="it-IT"/>
        </w:rPr>
        <w:t>De rerum natura</w:t>
      </w:r>
      <w:r w:rsidR="005E1789">
        <w:rPr>
          <w:lang w:val="it-IT"/>
        </w:rPr>
        <w:t xml:space="preserve"> </w:t>
      </w:r>
      <w:r w:rsidR="00A3657A">
        <w:rPr>
          <w:lang w:val="it-IT"/>
        </w:rPr>
        <w:t xml:space="preserve">de Lucrèce dans </w:t>
      </w:r>
      <w:r w:rsidR="005E1789">
        <w:rPr>
          <w:i/>
          <w:lang w:val="it-IT"/>
        </w:rPr>
        <w:t>Turba</w:t>
      </w:r>
      <w:r w:rsidR="005E1789">
        <w:rPr>
          <w:lang w:val="it-IT"/>
        </w:rPr>
        <w:t xml:space="preserve"> o</w:t>
      </w:r>
      <w:r w:rsidR="00A3657A">
        <w:rPr>
          <w:lang w:val="it-IT"/>
        </w:rPr>
        <w:t>u encore comme dans le très récent</w:t>
      </w:r>
      <w:r w:rsidR="005E1789">
        <w:rPr>
          <w:lang w:val="it-IT"/>
        </w:rPr>
        <w:t xml:space="preserve"> </w:t>
      </w:r>
      <w:r w:rsidR="005E1789">
        <w:rPr>
          <w:i/>
          <w:lang w:val="it-IT"/>
        </w:rPr>
        <w:t xml:space="preserve">Description d’un combat. </w:t>
      </w:r>
    </w:p>
    <w:p w:rsidR="006B5C96" w:rsidRDefault="006B5C96"/>
    <w:sectPr w:rsidR="006B5C96" w:rsidSect="006B5C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2117F8"/>
    <w:multiLevelType w:val="hybridMultilevel"/>
    <w:tmpl w:val="90A8E088"/>
    <w:lvl w:ilvl="0" w:tplc="89A625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0DC13B0"/>
    <w:multiLevelType w:val="hybridMultilevel"/>
    <w:tmpl w:val="DC205454"/>
    <w:lvl w:ilvl="0" w:tplc="89A625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CA6965"/>
    <w:multiLevelType w:val="hybridMultilevel"/>
    <w:tmpl w:val="4824D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650DFD"/>
    <w:multiLevelType w:val="hybridMultilevel"/>
    <w:tmpl w:val="B35EA598"/>
    <w:lvl w:ilvl="0" w:tplc="89A625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5E1789"/>
    <w:rsid w:val="00021708"/>
    <w:rsid w:val="000F299D"/>
    <w:rsid w:val="002C3A9A"/>
    <w:rsid w:val="00344722"/>
    <w:rsid w:val="00373A4F"/>
    <w:rsid w:val="003A5842"/>
    <w:rsid w:val="003E26E2"/>
    <w:rsid w:val="003E5B1A"/>
    <w:rsid w:val="0041453B"/>
    <w:rsid w:val="004270B0"/>
    <w:rsid w:val="0044424E"/>
    <w:rsid w:val="00445D6D"/>
    <w:rsid w:val="005E1789"/>
    <w:rsid w:val="00676C68"/>
    <w:rsid w:val="006A33B3"/>
    <w:rsid w:val="006B5C96"/>
    <w:rsid w:val="006E0AB5"/>
    <w:rsid w:val="006E7CB9"/>
    <w:rsid w:val="00745362"/>
    <w:rsid w:val="00762080"/>
    <w:rsid w:val="007650F3"/>
    <w:rsid w:val="00782DB8"/>
    <w:rsid w:val="0085666B"/>
    <w:rsid w:val="009569F7"/>
    <w:rsid w:val="009D40F5"/>
    <w:rsid w:val="009E038A"/>
    <w:rsid w:val="00A32065"/>
    <w:rsid w:val="00A3657A"/>
    <w:rsid w:val="00B6397B"/>
    <w:rsid w:val="00C95BB0"/>
    <w:rsid w:val="00CE7A28"/>
    <w:rsid w:val="00D05A66"/>
    <w:rsid w:val="00D33308"/>
    <w:rsid w:val="00DC05AB"/>
    <w:rsid w:val="00F15D23"/>
    <w:rsid w:val="00F51E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789"/>
  </w:style>
  <w:style w:type="paragraph" w:styleId="Titre1">
    <w:name w:val="heading 1"/>
    <w:basedOn w:val="Normal"/>
    <w:next w:val="Normal"/>
    <w:link w:val="Titre1Car"/>
    <w:qFormat/>
    <w:rsid w:val="009D40F5"/>
    <w:pPr>
      <w:keepNext/>
      <w:keepLines/>
      <w:spacing w:before="480" w:after="0"/>
      <w:outlineLvl w:val="0"/>
    </w:pPr>
    <w:rPr>
      <w:rFonts w:ascii="Georgia" w:eastAsiaTheme="majorEastAsia" w:hAnsi="Georgia" w:cstheme="majorBidi"/>
      <w:b/>
      <w:bCs/>
      <w:sz w:val="4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qFormat/>
    <w:rsid w:val="007650F3"/>
    <w:pPr>
      <w:widowControl w:val="0"/>
      <w:suppressLineNumbers/>
      <w:suppressAutoHyphens/>
      <w:spacing w:after="120" w:line="240" w:lineRule="auto"/>
      <w:ind w:firstLine="284"/>
      <w:jc w:val="both"/>
    </w:pPr>
    <w:rPr>
      <w:rFonts w:ascii="Garamond" w:eastAsia="SimSun" w:hAnsi="Garamond" w:cs="Mangal"/>
      <w:kern w:val="1"/>
      <w:szCs w:val="20"/>
      <w:lang w:eastAsia="hi-IN" w:bidi="hi-IN"/>
    </w:rPr>
  </w:style>
  <w:style w:type="character" w:customStyle="1" w:styleId="NotedebasdepageCar">
    <w:name w:val="Note de bas de page Car"/>
    <w:basedOn w:val="Policepardfaut"/>
    <w:link w:val="Notedebasdepage"/>
    <w:rsid w:val="007650F3"/>
    <w:rPr>
      <w:rFonts w:ascii="Garamond" w:eastAsia="SimSun" w:hAnsi="Garamond" w:cs="Mangal"/>
      <w:kern w:val="1"/>
      <w:szCs w:val="20"/>
      <w:lang w:eastAsia="hi-IN" w:bidi="hi-IN"/>
    </w:rPr>
  </w:style>
  <w:style w:type="paragraph" w:customStyle="1" w:styleId="Citsansalina">
    <w:name w:val="Cit° sans alinéa"/>
    <w:basedOn w:val="Normal"/>
    <w:autoRedefine/>
    <w:qFormat/>
    <w:rsid w:val="00373A4F"/>
    <w:pPr>
      <w:spacing w:before="60" w:after="60" w:line="360" w:lineRule="auto"/>
      <w:ind w:left="851" w:right="851"/>
      <w:jc w:val="both"/>
    </w:pPr>
    <w:rPr>
      <w:rFonts w:ascii="Garamond" w:hAnsi="Garamond" w:cs="Garamond"/>
      <w:sz w:val="24"/>
      <w:lang w:eastAsia="ar-SA"/>
    </w:rPr>
  </w:style>
  <w:style w:type="paragraph" w:customStyle="1" w:styleId="Citalina">
    <w:name w:val="Cit° alinéa"/>
    <w:basedOn w:val="Notedebasdepage"/>
    <w:autoRedefine/>
    <w:qFormat/>
    <w:rsid w:val="00373A4F"/>
    <w:pPr>
      <w:widowControl/>
      <w:suppressAutoHyphens w:val="0"/>
      <w:spacing w:before="60" w:after="60" w:line="360" w:lineRule="auto"/>
      <w:ind w:left="851" w:right="851" w:firstLine="709"/>
    </w:pPr>
    <w:rPr>
      <w:rFonts w:eastAsiaTheme="minorHAnsi" w:cstheme="minorBidi"/>
      <w:iCs/>
      <w:kern w:val="0"/>
      <w:sz w:val="24"/>
      <w:lang w:eastAsia="en-US" w:bidi="ar-SA"/>
    </w:rPr>
  </w:style>
  <w:style w:type="paragraph" w:customStyle="1" w:styleId="Textesansalina">
    <w:name w:val="Texte sans alinéa"/>
    <w:basedOn w:val="Normal"/>
    <w:qFormat/>
    <w:rsid w:val="007650F3"/>
    <w:pPr>
      <w:suppressAutoHyphens/>
      <w:spacing w:before="60" w:after="60" w:line="360" w:lineRule="auto"/>
      <w:jc w:val="both"/>
    </w:pPr>
    <w:rPr>
      <w:rFonts w:ascii="Garamond" w:eastAsia="SimSun" w:hAnsi="Garamond" w:cs="Garamond"/>
      <w:kern w:val="1"/>
      <w:sz w:val="26"/>
      <w:szCs w:val="24"/>
      <w:lang w:eastAsia="ar-SA"/>
    </w:rPr>
  </w:style>
  <w:style w:type="paragraph" w:customStyle="1" w:styleId="Textealina">
    <w:name w:val="Texte alinéa"/>
    <w:basedOn w:val="Normal"/>
    <w:qFormat/>
    <w:rsid w:val="007650F3"/>
    <w:pPr>
      <w:suppressAutoHyphens/>
      <w:spacing w:before="60" w:after="60" w:line="360" w:lineRule="auto"/>
      <w:ind w:firstLine="709"/>
      <w:jc w:val="both"/>
    </w:pPr>
    <w:rPr>
      <w:rFonts w:ascii="Garamond" w:eastAsia="SimSun" w:hAnsi="Garamond" w:cs="Garamond"/>
      <w:kern w:val="1"/>
      <w:sz w:val="26"/>
      <w:szCs w:val="24"/>
      <w:lang w:eastAsia="ar-SA"/>
    </w:rPr>
  </w:style>
  <w:style w:type="character" w:customStyle="1" w:styleId="Titre1Car">
    <w:name w:val="Titre 1 Car"/>
    <w:basedOn w:val="Policepardfaut"/>
    <w:link w:val="Titre1"/>
    <w:rsid w:val="009D40F5"/>
    <w:rPr>
      <w:rFonts w:ascii="Georgia" w:eastAsiaTheme="majorEastAsia" w:hAnsi="Georgia" w:cstheme="majorBidi"/>
      <w:b/>
      <w:bCs/>
      <w:sz w:val="48"/>
      <w:szCs w:val="28"/>
    </w:rPr>
  </w:style>
  <w:style w:type="paragraph" w:customStyle="1" w:styleId="TITRE10">
    <w:name w:val="TITRE1"/>
    <w:basedOn w:val="Normal"/>
    <w:qFormat/>
    <w:rsid w:val="005E1789"/>
    <w:pPr>
      <w:spacing w:after="0" w:line="240" w:lineRule="auto"/>
    </w:pPr>
  </w:style>
  <w:style w:type="table" w:styleId="Grilledutableau">
    <w:name w:val="Table Grid"/>
    <w:basedOn w:val="TableauNormal"/>
    <w:uiPriority w:val="59"/>
    <w:rsid w:val="005E1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C05AB"/>
    <w:pPr>
      <w:ind w:left="720"/>
      <w:contextualSpacing/>
    </w:pPr>
  </w:style>
</w:styles>
</file>

<file path=word/webSettings.xml><?xml version="1.0" encoding="utf-8"?>
<w:webSettings xmlns:r="http://schemas.openxmlformats.org/officeDocument/2006/relationships" xmlns:w="http://schemas.openxmlformats.org/wordprocessingml/2006/main">
  <w:divs>
    <w:div w:id="17601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908</Words>
  <Characters>4994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Acer</Company>
  <LinksUpToDate>false</LinksUpToDate>
  <CharactersWithSpaces>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5</cp:revision>
  <dcterms:created xsi:type="dcterms:W3CDTF">2013-12-05T11:48:00Z</dcterms:created>
  <dcterms:modified xsi:type="dcterms:W3CDTF">2013-12-05T12:50:00Z</dcterms:modified>
</cp:coreProperties>
</file>